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6C210" w14:textId="15AED95B"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eastAsia="zh-CN"/>
        </w:rPr>
      </w:pPr>
      <w:bookmarkStart w:id="0" w:name="OLE_LINK5"/>
      <w:bookmarkStart w:id="1" w:name="OLE_LINK6"/>
      <w:bookmarkStart w:id="2" w:name="_Hlk118109794"/>
      <w:r w:rsidRPr="00EF698B">
        <w:rPr>
          <w:rFonts w:ascii="Arial" w:eastAsia="宋体" w:hAnsi="Arial" w:cs="Times New Roman"/>
          <w:b/>
          <w:bCs/>
          <w:sz w:val="24"/>
          <w:szCs w:val="20"/>
        </w:rPr>
        <w:t>3GPP T</w:t>
      </w:r>
      <w:bookmarkStart w:id="3" w:name="_Ref452454252"/>
      <w:bookmarkEnd w:id="3"/>
      <w:r w:rsidRPr="00EF698B">
        <w:rPr>
          <w:rFonts w:ascii="Arial" w:eastAsia="宋体" w:hAnsi="Arial" w:cs="Times New Roman"/>
          <w:b/>
          <w:bCs/>
          <w:sz w:val="24"/>
          <w:szCs w:val="20"/>
        </w:rPr>
        <w:t xml:space="preserve">SG-RAN </w:t>
      </w:r>
      <w:r w:rsidR="00ED7600" w:rsidRPr="00EF698B">
        <w:rPr>
          <w:rFonts w:ascii="Arial" w:eastAsia="宋体" w:hAnsi="Arial" w:cs="Times New Roman"/>
          <w:b/>
          <w:sz w:val="24"/>
          <w:szCs w:val="20"/>
        </w:rPr>
        <w:t>WG4 Meeting #</w:t>
      </w:r>
      <w:r w:rsidR="001868EE" w:rsidRPr="00EF698B">
        <w:rPr>
          <w:rFonts w:ascii="Arial" w:eastAsia="宋体" w:hAnsi="Arial" w:cs="Times New Roman"/>
          <w:b/>
          <w:sz w:val="24"/>
          <w:szCs w:val="20"/>
        </w:rPr>
        <w:t>10</w:t>
      </w:r>
      <w:r w:rsidR="00FA6962">
        <w:rPr>
          <w:rFonts w:ascii="Arial" w:eastAsia="宋体" w:hAnsi="Arial" w:cs="Times New Roman"/>
          <w:b/>
          <w:sz w:val="24"/>
          <w:szCs w:val="20"/>
        </w:rPr>
        <w:t>5</w:t>
      </w:r>
      <w:r w:rsidRPr="00EF698B">
        <w:rPr>
          <w:rFonts w:ascii="Arial" w:eastAsia="宋体" w:hAnsi="Arial" w:cs="Times New Roman"/>
          <w:b/>
          <w:bCs/>
          <w:sz w:val="24"/>
          <w:szCs w:val="20"/>
        </w:rPr>
        <w:tab/>
      </w:r>
      <w:r w:rsidR="00FD37EF" w:rsidRPr="00FD37EF">
        <w:rPr>
          <w:rFonts w:ascii="Arial" w:eastAsia="宋体" w:hAnsi="Arial" w:cs="Times New Roman"/>
          <w:b/>
          <w:bCs/>
          <w:sz w:val="24"/>
          <w:szCs w:val="20"/>
          <w:lang w:eastAsia="ja-JP"/>
        </w:rPr>
        <w:t>R4-2218975</w:t>
      </w:r>
    </w:p>
    <w:bookmarkEnd w:id="0"/>
    <w:bookmarkEnd w:id="1"/>
    <w:p w14:paraId="52CDCD23" w14:textId="7DFACBF7" w:rsidR="00841BCD" w:rsidRPr="00FA6962" w:rsidRDefault="00FA6962"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r w:rsidRPr="00FA6962">
        <w:rPr>
          <w:rFonts w:ascii="Arial" w:eastAsia="宋体" w:hAnsi="Arial" w:cs="Times New Roman"/>
          <w:b/>
          <w:sz w:val="24"/>
          <w:szCs w:val="20"/>
        </w:rPr>
        <w:t>Toulouse, France, November 14 – November 18, 2022</w:t>
      </w:r>
    </w:p>
    <w:bookmarkEnd w:id="2"/>
    <w:p w14:paraId="3C439AC5" w14:textId="69FCF22D" w:rsidR="00841BCD" w:rsidRPr="00FA6962" w:rsidRDefault="00841BCD" w:rsidP="00FA6962">
      <w:pPr>
        <w:tabs>
          <w:tab w:val="left" w:pos="1985"/>
        </w:tabs>
        <w:spacing w:after="120" w:line="240" w:lineRule="auto"/>
        <w:rPr>
          <w:rFonts w:ascii="Arial" w:eastAsia="MS Mincho" w:hAnsi="Arial" w:cs="Arial"/>
          <w:b/>
          <w:bCs/>
          <w:sz w:val="24"/>
          <w:szCs w:val="20"/>
        </w:rPr>
      </w:pPr>
      <w:r w:rsidRPr="00FA6962">
        <w:rPr>
          <w:rFonts w:ascii="Arial" w:eastAsia="MS Mincho" w:hAnsi="Arial" w:cs="Arial"/>
          <w:b/>
          <w:bCs/>
          <w:sz w:val="24"/>
          <w:szCs w:val="20"/>
        </w:rPr>
        <w:t>Source:</w:t>
      </w:r>
      <w:r w:rsidRPr="00FA6962">
        <w:rPr>
          <w:rFonts w:ascii="Arial" w:eastAsia="MS Mincho" w:hAnsi="Arial" w:cs="Arial"/>
          <w:b/>
          <w:bCs/>
          <w:sz w:val="24"/>
          <w:szCs w:val="20"/>
        </w:rPr>
        <w:tab/>
      </w:r>
      <w:r w:rsidR="00FA6962" w:rsidRPr="00FA6962">
        <w:rPr>
          <w:rFonts w:ascii="Arial" w:eastAsia="MS Mincho" w:hAnsi="Arial" w:cs="Arial"/>
          <w:b/>
          <w:bCs/>
          <w:sz w:val="24"/>
          <w:szCs w:val="20"/>
        </w:rPr>
        <w:t>OPPO</w:t>
      </w:r>
    </w:p>
    <w:p w14:paraId="5EDFABBF" w14:textId="77777777" w:rsidR="00876540" w:rsidRPr="00EF698B" w:rsidRDefault="00841BCD" w:rsidP="00876540">
      <w:pPr>
        <w:tabs>
          <w:tab w:val="left" w:pos="1985"/>
        </w:tabs>
        <w:spacing w:after="120" w:line="240" w:lineRule="auto"/>
        <w:rPr>
          <w:rFonts w:ascii="Arial" w:eastAsia="MS Mincho" w:hAnsi="Arial" w:cs="Arial"/>
          <w:b/>
          <w:bCs/>
          <w:sz w:val="24"/>
          <w:szCs w:val="20"/>
        </w:rPr>
      </w:pPr>
      <w:r w:rsidRPr="00FA6962">
        <w:rPr>
          <w:rFonts w:ascii="Arial" w:eastAsia="MS Mincho" w:hAnsi="Arial" w:cs="Arial"/>
          <w:b/>
          <w:bCs/>
          <w:sz w:val="24"/>
          <w:szCs w:val="20"/>
        </w:rPr>
        <w:t>Title:</w:t>
      </w:r>
      <w:r w:rsidRPr="00FA6962">
        <w:rPr>
          <w:rFonts w:ascii="Arial" w:eastAsia="MS Mincho" w:hAnsi="Arial" w:cs="Arial"/>
          <w:b/>
          <w:bCs/>
          <w:sz w:val="24"/>
          <w:szCs w:val="20"/>
        </w:rPr>
        <w:tab/>
      </w:r>
      <w:r w:rsidR="00876540">
        <w:rPr>
          <w:rFonts w:ascii="Arial" w:eastAsia="MS Mincho" w:hAnsi="Arial" w:cs="Arial"/>
          <w:b/>
          <w:bCs/>
          <w:sz w:val="24"/>
          <w:szCs w:val="20"/>
        </w:rPr>
        <w:t xml:space="preserve">Discussion on NCD-SSB test cases for </w:t>
      </w:r>
      <w:proofErr w:type="spellStart"/>
      <w:r w:rsidR="00876540">
        <w:rPr>
          <w:rFonts w:ascii="Arial" w:eastAsia="MS Mincho" w:hAnsi="Arial" w:cs="Arial"/>
          <w:b/>
          <w:bCs/>
          <w:sz w:val="24"/>
          <w:szCs w:val="20"/>
        </w:rPr>
        <w:t>RedCap</w:t>
      </w:r>
      <w:proofErr w:type="spellEnd"/>
      <w:r w:rsidR="00876540">
        <w:rPr>
          <w:rFonts w:ascii="Arial" w:eastAsia="MS Mincho" w:hAnsi="Arial" w:cs="Arial"/>
          <w:b/>
          <w:bCs/>
          <w:sz w:val="24"/>
          <w:szCs w:val="20"/>
        </w:rPr>
        <w:t xml:space="preserve"> UEs</w:t>
      </w:r>
    </w:p>
    <w:p w14:paraId="641E8BEA" w14:textId="5B7CF5C4"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C24CE" w:rsidRPr="00BC24CE">
        <w:rPr>
          <w:rFonts w:ascii="Arial" w:eastAsia="MS Mincho" w:hAnsi="Arial" w:cs="Arial"/>
          <w:b/>
          <w:bCs/>
          <w:sz w:val="24"/>
          <w:szCs w:val="20"/>
        </w:rPr>
        <w:t>6.6.3.1</w:t>
      </w:r>
    </w:p>
    <w:p w14:paraId="07144160" w14:textId="40953B8B"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EE1901" w14:textId="3373D4EA" w:rsidR="000002BC" w:rsidRDefault="00841BCD" w:rsidP="005C23A4">
      <w:pPr>
        <w:pStyle w:val="RAN4H1"/>
        <w:rPr>
          <w:lang w:val="en-US"/>
        </w:rPr>
      </w:pPr>
      <w:r w:rsidRPr="00EF698B">
        <w:rPr>
          <w:lang w:val="en-US"/>
        </w:rPr>
        <w:t>Intro</w:t>
      </w:r>
      <w:r w:rsidRPr="00EF698B">
        <w:rPr>
          <w:rStyle w:val="RAN4H1Char"/>
          <w:lang w:val="en-US"/>
        </w:rPr>
        <w:t>ductio</w:t>
      </w:r>
      <w:r w:rsidRPr="00EF698B">
        <w:rPr>
          <w:lang w:val="en-US"/>
        </w:rPr>
        <w:t>n</w:t>
      </w:r>
    </w:p>
    <w:p w14:paraId="0CE1AE49" w14:textId="22B6C686" w:rsidR="00876540" w:rsidRDefault="00F50352" w:rsidP="00F50352">
      <w:pPr>
        <w:rPr>
          <w:lang w:eastAsia="zh-CN"/>
        </w:rPr>
      </w:pPr>
      <w:proofErr w:type="spellStart"/>
      <w:r>
        <w:t>RedCap</w:t>
      </w:r>
      <w:proofErr w:type="spellEnd"/>
      <w:r>
        <w:t xml:space="preserve"> UEs</w:t>
      </w:r>
      <w:r w:rsidR="00876540">
        <w:t xml:space="preserve"> support both CD-SSB and NCD-SSB in Rel-17. In the last RAN4 meeting,</w:t>
      </w:r>
      <w:r w:rsidR="0021448A">
        <w:t xml:space="preserve"> RAN4 agreed to define RRM test cases with NCD-SSB, and </w:t>
      </w:r>
      <w:r w:rsidR="00876540">
        <w:t xml:space="preserve">the </w:t>
      </w:r>
      <w:r w:rsidR="00546E16">
        <w:rPr>
          <w:rFonts w:hint="eastAsia"/>
          <w:lang w:eastAsia="zh-CN"/>
        </w:rPr>
        <w:t>agreements</w:t>
      </w:r>
      <w:r w:rsidR="00546E16">
        <w:t xml:space="preserve"> </w:t>
      </w:r>
      <w:r w:rsidR="00876540">
        <w:t xml:space="preserve">was captured in the WF </w:t>
      </w:r>
      <w:r w:rsidR="00876540">
        <w:fldChar w:fldCharType="begin"/>
      </w:r>
      <w:r w:rsidR="00876540">
        <w:instrText xml:space="preserve"> REF _Ref115204225 \r \h </w:instrText>
      </w:r>
      <w:r w:rsidR="00876540">
        <w:fldChar w:fldCharType="separate"/>
      </w:r>
      <w:r w:rsidR="00876540">
        <w:t>[1]</w:t>
      </w:r>
      <w:r w:rsidR="00876540">
        <w:fldChar w:fldCharType="end"/>
      </w:r>
      <w:r w:rsidR="00A97983">
        <w:rPr>
          <w:rFonts w:hint="eastAsia"/>
          <w:lang w:eastAsia="zh-CN"/>
        </w:rPr>
        <w:t>.</w:t>
      </w:r>
    </w:p>
    <w:tbl>
      <w:tblPr>
        <w:tblW w:w="0" w:type="auto"/>
        <w:jc w:val="center"/>
        <w:tblCellMar>
          <w:left w:w="0" w:type="dxa"/>
          <w:right w:w="0" w:type="dxa"/>
        </w:tblCellMar>
        <w:tblLook w:val="04A0" w:firstRow="1" w:lastRow="0" w:firstColumn="1" w:lastColumn="0" w:noHBand="0" w:noVBand="1"/>
      </w:tblPr>
      <w:tblGrid>
        <w:gridCol w:w="1170"/>
        <w:gridCol w:w="5845"/>
      </w:tblGrid>
      <w:tr w:rsidR="0008712D" w:rsidRPr="0008712D" w14:paraId="3F838591" w14:textId="77777777" w:rsidTr="0008712D">
        <w:trPr>
          <w:jc w:val="center"/>
        </w:trPr>
        <w:tc>
          <w:tcPr>
            <w:tcW w:w="11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F109C7" w14:textId="77777777" w:rsidR="0008712D" w:rsidRPr="0008712D" w:rsidRDefault="0008712D" w:rsidP="0008712D">
            <w:pPr>
              <w:rPr>
                <w:lang w:val="de-DE"/>
              </w:rPr>
            </w:pPr>
            <w:r w:rsidRPr="0008712D">
              <w:rPr>
                <w:b/>
                <w:bCs/>
                <w:lang w:val="de-DE"/>
              </w:rPr>
              <w:t>Test Index</w:t>
            </w:r>
          </w:p>
        </w:tc>
        <w:tc>
          <w:tcPr>
            <w:tcW w:w="5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0FB3F" w14:textId="77777777" w:rsidR="0008712D" w:rsidRPr="0008712D" w:rsidRDefault="0008712D" w:rsidP="0008712D">
            <w:pPr>
              <w:rPr>
                <w:lang w:val="de-DE"/>
              </w:rPr>
            </w:pPr>
            <w:r w:rsidRPr="0008712D">
              <w:rPr>
                <w:b/>
                <w:bCs/>
                <w:lang w:val="de-DE"/>
              </w:rPr>
              <w:t>Test</w:t>
            </w:r>
          </w:p>
        </w:tc>
      </w:tr>
      <w:tr w:rsidR="0008712D" w:rsidRPr="0008712D" w14:paraId="4E85D629" w14:textId="77777777" w:rsidTr="0008712D">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7D1E2" w14:textId="77777777" w:rsidR="0008712D" w:rsidRPr="0008712D" w:rsidRDefault="0008712D" w:rsidP="0008712D">
            <w:pPr>
              <w:rPr>
                <w:lang w:val="de-DE"/>
              </w:rPr>
            </w:pPr>
            <w:r w:rsidRPr="0008712D">
              <w:rPr>
                <w:lang w:val="de-DE"/>
              </w:rPr>
              <w:t>1</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82BAC82" w14:textId="77777777" w:rsidR="0008712D" w:rsidRPr="0008712D" w:rsidRDefault="0008712D" w:rsidP="0008712D">
            <w:pPr>
              <w:rPr>
                <w:lang w:val="de-DE"/>
              </w:rPr>
            </w:pPr>
            <w:r w:rsidRPr="0008712D">
              <w:rPr>
                <w:lang w:val="de-DE"/>
              </w:rPr>
              <w:t xml:space="preserve">SA event triggered reporting tests for NCD-SSB without gap under non-DRX </w:t>
            </w:r>
          </w:p>
        </w:tc>
      </w:tr>
      <w:tr w:rsidR="0008712D" w:rsidRPr="0008712D" w14:paraId="6767E6CB" w14:textId="77777777" w:rsidTr="0008712D">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5C20D" w14:textId="77777777" w:rsidR="0008712D" w:rsidRPr="0008712D" w:rsidRDefault="0008712D" w:rsidP="0008712D">
            <w:pPr>
              <w:rPr>
                <w:lang w:val="de-DE"/>
              </w:rPr>
            </w:pPr>
            <w:r w:rsidRPr="0008712D">
              <w:rPr>
                <w:lang w:val="de-DE"/>
              </w:rPr>
              <w:t>2</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63A260C9" w14:textId="77777777" w:rsidR="0008712D" w:rsidRPr="0008712D" w:rsidRDefault="0008712D" w:rsidP="0008712D">
            <w:pPr>
              <w:rPr>
                <w:lang w:val="de-DE"/>
              </w:rPr>
            </w:pPr>
            <w:r w:rsidRPr="0008712D">
              <w:rPr>
                <w:lang w:val="de-DE"/>
              </w:rPr>
              <w:t>SA event triggered reporting tests for NCD-SSB with per-UE gaps under non-DRX</w:t>
            </w:r>
          </w:p>
        </w:tc>
        <w:bookmarkStart w:id="4" w:name="_GoBack"/>
        <w:bookmarkEnd w:id="4"/>
      </w:tr>
      <w:tr w:rsidR="0008712D" w:rsidRPr="0008712D" w14:paraId="6F669D9C" w14:textId="77777777" w:rsidTr="0008712D">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DE98B" w14:textId="77777777" w:rsidR="0008712D" w:rsidRPr="0008712D" w:rsidRDefault="0008712D" w:rsidP="0008712D">
            <w:pPr>
              <w:rPr>
                <w:lang w:val="de-DE"/>
              </w:rPr>
            </w:pPr>
            <w:r w:rsidRPr="0008712D">
              <w:rPr>
                <w:lang w:val="de-DE"/>
              </w:rPr>
              <w:t>3</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68C52D45" w14:textId="77777777" w:rsidR="0008712D" w:rsidRPr="0008712D" w:rsidRDefault="0008712D" w:rsidP="0008712D">
            <w:pPr>
              <w:rPr>
                <w:lang w:val="de-DE"/>
              </w:rPr>
            </w:pPr>
            <w:r w:rsidRPr="0008712D">
              <w:rPr>
                <w:lang w:val="de-DE"/>
              </w:rPr>
              <w:t>SA event triggered reporting tests for NCD-SSB without gap under non-DRX with SSB index reading</w:t>
            </w:r>
          </w:p>
        </w:tc>
      </w:tr>
      <w:tr w:rsidR="0008712D" w:rsidRPr="0008712D" w14:paraId="0C8C7255" w14:textId="77777777" w:rsidTr="0008712D">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958F1" w14:textId="77777777" w:rsidR="0008712D" w:rsidRPr="0008712D" w:rsidRDefault="0008712D" w:rsidP="0008712D">
            <w:pPr>
              <w:rPr>
                <w:lang w:val="de-DE"/>
              </w:rPr>
            </w:pPr>
            <w:r w:rsidRPr="0008712D">
              <w:rPr>
                <w:lang w:val="de-DE"/>
              </w:rPr>
              <w:t>4</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3795E55A" w14:textId="77777777" w:rsidR="0008712D" w:rsidRPr="0008712D" w:rsidRDefault="0008712D" w:rsidP="0008712D">
            <w:pPr>
              <w:rPr>
                <w:lang w:val="de-DE"/>
              </w:rPr>
            </w:pPr>
            <w:r w:rsidRPr="0008712D">
              <w:rPr>
                <w:lang w:val="de-DE"/>
              </w:rPr>
              <w:t>SA event triggered reporting tests for NCD-SSB with per-UE gaps under non-DRX with SSB index reading</w:t>
            </w:r>
          </w:p>
        </w:tc>
      </w:tr>
    </w:tbl>
    <w:p w14:paraId="1BA44BB9" w14:textId="7C97CEC4" w:rsidR="005B4801" w:rsidRPr="00EF698B" w:rsidRDefault="000019A3" w:rsidP="005C23A4">
      <w:r>
        <w:t xml:space="preserve">In this </w:t>
      </w:r>
      <w:r w:rsidR="00FA6962">
        <w:t>contribution</w:t>
      </w:r>
      <w:r>
        <w:t xml:space="preserve">, </w:t>
      </w:r>
      <w:r w:rsidR="00FA6962">
        <w:t xml:space="preserve">we further discuss the </w:t>
      </w:r>
      <w:r>
        <w:t>test cases with NCD-SSB</w:t>
      </w:r>
      <w:r w:rsidR="00FA6962">
        <w:t xml:space="preserve"> for intra-frequency measurement with gap (test #2 and #4)</w:t>
      </w:r>
      <w:r>
        <w:t>.</w:t>
      </w:r>
    </w:p>
    <w:p w14:paraId="5E6E091D" w14:textId="77777777" w:rsidR="003B659E" w:rsidRPr="00EF698B" w:rsidRDefault="003B659E" w:rsidP="00AE56B1">
      <w:pPr>
        <w:pStyle w:val="RAN4H1"/>
        <w:rPr>
          <w:lang w:val="en-US"/>
        </w:rPr>
      </w:pPr>
      <w:r w:rsidRPr="00EF698B">
        <w:rPr>
          <w:lang w:val="en-US"/>
        </w:rPr>
        <w:t>Discussion</w:t>
      </w:r>
    </w:p>
    <w:p w14:paraId="6482E173" w14:textId="4A54FC4D" w:rsidR="004C257B" w:rsidRDefault="00DB4747" w:rsidP="00DB4747">
      <w:pPr>
        <w:pStyle w:val="RAN4observation0"/>
        <w:numPr>
          <w:ilvl w:val="0"/>
          <w:numId w:val="0"/>
        </w:numPr>
        <w:rPr>
          <w:lang w:val="en-US"/>
        </w:rPr>
      </w:pPr>
      <w:r>
        <w:rPr>
          <w:lang w:val="en-US"/>
        </w:rPr>
        <w:t>R</w:t>
      </w:r>
      <w:r w:rsidR="004F2A1A">
        <w:rPr>
          <w:lang w:val="en-US"/>
        </w:rPr>
        <w:t xml:space="preserve"> </w:t>
      </w:r>
      <w:r w:rsidR="00876540">
        <w:rPr>
          <w:lang w:val="en-US"/>
        </w:rPr>
        <w:t xml:space="preserve">AN4 has agreed to define </w:t>
      </w:r>
      <w:r w:rsidR="00C63BDC">
        <w:rPr>
          <w:lang w:val="en-US"/>
        </w:rPr>
        <w:t xml:space="preserve">intra-frequency measurement </w:t>
      </w:r>
      <w:r w:rsidR="00876540">
        <w:rPr>
          <w:lang w:val="en-US"/>
        </w:rPr>
        <w:t xml:space="preserve">requirements for scenarios with NCD-SSB for </w:t>
      </w:r>
      <w:proofErr w:type="spellStart"/>
      <w:r w:rsidR="00876540">
        <w:rPr>
          <w:lang w:val="en-US"/>
        </w:rPr>
        <w:t>RedCap</w:t>
      </w:r>
      <w:proofErr w:type="spellEnd"/>
      <w:r w:rsidR="00876540">
        <w:rPr>
          <w:lang w:val="en-US"/>
        </w:rPr>
        <w:t xml:space="preserve"> UEs in Rel-17.</w:t>
      </w:r>
      <w:r w:rsidR="00F40B3F">
        <w:rPr>
          <w:lang w:val="en-US"/>
        </w:rPr>
        <w:t xml:space="preserve"> </w:t>
      </w:r>
    </w:p>
    <w:tbl>
      <w:tblPr>
        <w:tblStyle w:val="a7"/>
        <w:tblW w:w="0" w:type="auto"/>
        <w:tblLook w:val="04A0" w:firstRow="1" w:lastRow="0" w:firstColumn="1" w:lastColumn="0" w:noHBand="0" w:noVBand="1"/>
      </w:tblPr>
      <w:tblGrid>
        <w:gridCol w:w="9617"/>
      </w:tblGrid>
      <w:tr w:rsidR="005E127D" w:rsidRPr="00876540" w14:paraId="0343FDF5" w14:textId="77777777" w:rsidTr="00CC7FC4">
        <w:tc>
          <w:tcPr>
            <w:tcW w:w="9617" w:type="dxa"/>
          </w:tcPr>
          <w:p w14:paraId="2E88D255" w14:textId="77777777" w:rsidR="005E127D" w:rsidRPr="00DC16A5" w:rsidRDefault="005E127D" w:rsidP="00CC7FC4">
            <w:pPr>
              <w:rPr>
                <w:rFonts w:eastAsia="宋体"/>
                <w:b/>
                <w:highlight w:val="green"/>
                <w:lang w:eastAsia="zh-CN"/>
              </w:rPr>
            </w:pPr>
            <w:r w:rsidRPr="00DC16A5">
              <w:rPr>
                <w:rFonts w:eastAsia="宋体"/>
                <w:b/>
                <w:highlight w:val="green"/>
                <w:lang w:eastAsia="zh-CN"/>
              </w:rPr>
              <w:t xml:space="preserve">Agreement: </w:t>
            </w:r>
          </w:p>
          <w:p w14:paraId="51F9D088" w14:textId="77777777" w:rsidR="005E127D" w:rsidRPr="00DC16A5" w:rsidRDefault="005E127D" w:rsidP="00CC7FC4">
            <w:pPr>
              <w:rPr>
                <w:rFonts w:eastAsia="宋体"/>
                <w:b/>
                <w:highlight w:val="green"/>
                <w:lang w:eastAsia="zh-CN"/>
              </w:rPr>
            </w:pPr>
            <w:r w:rsidRPr="00DC16A5">
              <w:rPr>
                <w:rFonts w:eastAsia="宋体"/>
                <w:b/>
                <w:bCs/>
                <w:sz w:val="24"/>
                <w:szCs w:val="24"/>
                <w:lang w:eastAsia="ko-KR"/>
              </w:rPr>
              <w:t>SSB Test configuration</w:t>
            </w:r>
          </w:p>
          <w:p w14:paraId="77C1E072" w14:textId="77777777" w:rsidR="005E127D" w:rsidRPr="0021448A" w:rsidRDefault="005E127D" w:rsidP="00CC7FC4">
            <w:pPr>
              <w:rPr>
                <w:rFonts w:eastAsia="Malgun Gothic"/>
                <w:b/>
                <w:lang w:eastAsia="ko-KR"/>
              </w:rPr>
            </w:pPr>
            <w:r w:rsidRPr="00DC16A5">
              <w:rPr>
                <w:rFonts w:eastAsia="宋体"/>
                <w:b/>
                <w:bCs/>
                <w:noProof/>
                <w:color w:val="000000"/>
                <w:lang w:eastAsia="ko-KR"/>
              </w:rPr>
              <w:lastRenderedPageBreak/>
              <w:drawing>
                <wp:inline distT="0" distB="0" distL="0" distR="0" wp14:anchorId="62724012" wp14:editId="5410E8DA">
                  <wp:extent cx="2115820" cy="2280285"/>
                  <wp:effectExtent l="0" t="0" r="1778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15820" cy="2280285"/>
                          </a:xfrm>
                          <a:prstGeom prst="rect">
                            <a:avLst/>
                          </a:prstGeom>
                          <a:noFill/>
                          <a:ln>
                            <a:noFill/>
                          </a:ln>
                        </pic:spPr>
                      </pic:pic>
                    </a:graphicData>
                  </a:graphic>
                </wp:inline>
              </w:drawing>
            </w:r>
            <w:r w:rsidRPr="00DC16A5">
              <w:rPr>
                <w:rFonts w:eastAsia="宋体"/>
                <w:color w:val="000000"/>
                <w:lang w:eastAsia="ko-KR"/>
              </w:rPr>
              <w:t xml:space="preserve"> </w:t>
            </w:r>
            <w:r w:rsidRPr="00DC16A5">
              <w:rPr>
                <w:rFonts w:eastAsia="宋体"/>
                <w:noProof/>
                <w:color w:val="000000"/>
                <w:lang w:eastAsia="ko-KR"/>
              </w:rPr>
              <w:drawing>
                <wp:inline distT="0" distB="0" distL="0" distR="0" wp14:anchorId="27C1DCC5" wp14:editId="533F48C8">
                  <wp:extent cx="2585085" cy="2256790"/>
                  <wp:effectExtent l="0" t="0" r="5715" b="1016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585085" cy="2256790"/>
                          </a:xfrm>
                          <a:prstGeom prst="rect">
                            <a:avLst/>
                          </a:prstGeom>
                          <a:noFill/>
                          <a:ln>
                            <a:noFill/>
                          </a:ln>
                        </pic:spPr>
                      </pic:pic>
                    </a:graphicData>
                  </a:graphic>
                </wp:inline>
              </w:drawing>
            </w:r>
            <w:r w:rsidRPr="00DC16A5">
              <w:rPr>
                <w:rFonts w:eastAsia="宋体"/>
                <w:lang w:eastAsia="ko-KR"/>
              </w:rPr>
              <w:t xml:space="preserve"> </w:t>
            </w:r>
            <w:r w:rsidRPr="00DC16A5">
              <w:rPr>
                <w:rFonts w:eastAsia="宋体"/>
                <w:noProof/>
                <w:lang w:eastAsia="ko-KR"/>
              </w:rPr>
              <w:drawing>
                <wp:inline distT="0" distB="0" distL="0" distR="0" wp14:anchorId="3DD80AFB" wp14:editId="242A0F5C">
                  <wp:extent cx="2620010" cy="1641475"/>
                  <wp:effectExtent l="0" t="0" r="8890" b="158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620010" cy="1641475"/>
                          </a:xfrm>
                          <a:prstGeom prst="rect">
                            <a:avLst/>
                          </a:prstGeom>
                          <a:noFill/>
                          <a:ln>
                            <a:noFill/>
                          </a:ln>
                        </pic:spPr>
                      </pic:pic>
                    </a:graphicData>
                  </a:graphic>
                </wp:inline>
              </w:drawing>
            </w:r>
            <w:r w:rsidRPr="00DC16A5">
              <w:rPr>
                <w:rFonts w:eastAsia="宋体"/>
                <w:lang w:eastAsia="ko-KR"/>
              </w:rPr>
              <w:t xml:space="preserve"> </w:t>
            </w:r>
            <w:r w:rsidRPr="00DC16A5">
              <w:rPr>
                <w:rFonts w:eastAsia="宋体"/>
                <w:noProof/>
                <w:lang w:eastAsia="ko-KR"/>
              </w:rPr>
              <w:drawing>
                <wp:inline distT="0" distB="0" distL="0" distR="0" wp14:anchorId="7C9BFD88" wp14:editId="075A44B1">
                  <wp:extent cx="2280285" cy="1670685"/>
                  <wp:effectExtent l="0" t="0" r="5715"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280285" cy="1670685"/>
                          </a:xfrm>
                          <a:prstGeom prst="rect">
                            <a:avLst/>
                          </a:prstGeom>
                          <a:noFill/>
                          <a:ln>
                            <a:noFill/>
                          </a:ln>
                        </pic:spPr>
                      </pic:pic>
                    </a:graphicData>
                  </a:graphic>
                </wp:inline>
              </w:drawing>
            </w:r>
          </w:p>
          <w:p w14:paraId="63CC7CF5" w14:textId="77777777" w:rsidR="005E127D" w:rsidRPr="00DC16A5" w:rsidRDefault="005E127D" w:rsidP="00CC7FC4">
            <w:pPr>
              <w:numPr>
                <w:ilvl w:val="0"/>
                <w:numId w:val="36"/>
              </w:numPr>
              <w:spacing w:after="120"/>
              <w:ind w:left="936"/>
              <w:rPr>
                <w:rFonts w:eastAsia="宋体"/>
                <w:b/>
                <w:bCs/>
                <w:szCs w:val="24"/>
                <w:highlight w:val="green"/>
                <w:lang w:eastAsia="ja-JP"/>
              </w:rPr>
            </w:pPr>
            <w:r w:rsidRPr="00DC16A5">
              <w:rPr>
                <w:rFonts w:eastAsia="宋体"/>
                <w:b/>
                <w:bCs/>
                <w:szCs w:val="24"/>
                <w:highlight w:val="green"/>
                <w:lang w:eastAsia="zh-CN"/>
              </w:rPr>
              <w:t>Intra-frequency measurement</w:t>
            </w:r>
          </w:p>
          <w:tbl>
            <w:tblPr>
              <w:tblW w:w="0" w:type="auto"/>
              <w:tblCellMar>
                <w:left w:w="0" w:type="dxa"/>
                <w:right w:w="0" w:type="dxa"/>
              </w:tblCellMar>
              <w:tblLook w:val="04A0" w:firstRow="1" w:lastRow="0" w:firstColumn="1" w:lastColumn="0" w:noHBand="0" w:noVBand="1"/>
            </w:tblPr>
            <w:tblGrid>
              <w:gridCol w:w="1170"/>
              <w:gridCol w:w="5845"/>
              <w:gridCol w:w="2335"/>
            </w:tblGrid>
            <w:tr w:rsidR="005E127D" w:rsidRPr="00DC16A5" w14:paraId="3D31A90E" w14:textId="77777777" w:rsidTr="00CC7FC4">
              <w:tc>
                <w:tcPr>
                  <w:tcW w:w="11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E2B379" w14:textId="77777777" w:rsidR="005E127D" w:rsidRPr="00DC16A5" w:rsidRDefault="005E127D" w:rsidP="00CC7FC4">
                  <w:pPr>
                    <w:rPr>
                      <w:rFonts w:eastAsia="宋体"/>
                      <w:highlight w:val="green"/>
                      <w:lang w:val="de-DE" w:eastAsia="ko-KR"/>
                    </w:rPr>
                  </w:pPr>
                  <w:r w:rsidRPr="00DC16A5">
                    <w:rPr>
                      <w:rFonts w:eastAsia="宋体"/>
                      <w:b/>
                      <w:bCs/>
                      <w:highlight w:val="green"/>
                      <w:lang w:val="de-DE" w:eastAsia="ko-KR"/>
                    </w:rPr>
                    <w:t>Test Index</w:t>
                  </w:r>
                </w:p>
              </w:tc>
              <w:tc>
                <w:tcPr>
                  <w:tcW w:w="5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0BF516" w14:textId="77777777" w:rsidR="005E127D" w:rsidRPr="00DC16A5" w:rsidRDefault="005E127D" w:rsidP="00CC7FC4">
                  <w:pPr>
                    <w:rPr>
                      <w:rFonts w:eastAsia="宋体"/>
                      <w:highlight w:val="green"/>
                      <w:lang w:val="de-DE" w:eastAsia="ko-KR"/>
                    </w:rPr>
                  </w:pPr>
                  <w:r w:rsidRPr="00DC16A5">
                    <w:rPr>
                      <w:rFonts w:eastAsia="宋体"/>
                      <w:b/>
                      <w:bCs/>
                      <w:highlight w:val="green"/>
                      <w:lang w:val="de-DE" w:eastAsia="ko-KR"/>
                    </w:rPr>
                    <w:t>Test</w:t>
                  </w:r>
                </w:p>
              </w:tc>
              <w:tc>
                <w:tcPr>
                  <w:tcW w:w="23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61573" w14:textId="77777777" w:rsidR="005E127D" w:rsidRPr="00DC16A5" w:rsidRDefault="005E127D" w:rsidP="00CC7FC4">
                  <w:pPr>
                    <w:rPr>
                      <w:rFonts w:eastAsia="宋体"/>
                      <w:highlight w:val="green"/>
                      <w:lang w:val="de-DE" w:eastAsia="ko-KR"/>
                    </w:rPr>
                  </w:pPr>
                  <w:r w:rsidRPr="00DC16A5">
                    <w:rPr>
                      <w:rFonts w:eastAsia="宋体"/>
                      <w:b/>
                      <w:bCs/>
                      <w:highlight w:val="green"/>
                      <w:lang w:val="de-DE" w:eastAsia="ko-KR"/>
                    </w:rPr>
                    <w:t>Test Configuration</w:t>
                  </w:r>
                </w:p>
              </w:tc>
            </w:tr>
            <w:tr w:rsidR="005E127D" w:rsidRPr="00DC16A5" w14:paraId="596BB1FA" w14:textId="77777777" w:rsidTr="00CC7FC4">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F547B" w14:textId="77777777" w:rsidR="005E127D" w:rsidRPr="00DC16A5" w:rsidRDefault="005E127D" w:rsidP="00CC7FC4">
                  <w:pPr>
                    <w:rPr>
                      <w:rFonts w:eastAsia="宋体"/>
                      <w:highlight w:val="green"/>
                      <w:lang w:val="de-DE" w:eastAsia="ko-KR"/>
                    </w:rPr>
                  </w:pPr>
                  <w:r w:rsidRPr="00DC16A5">
                    <w:rPr>
                      <w:rFonts w:eastAsia="宋体"/>
                      <w:highlight w:val="green"/>
                      <w:lang w:val="de-DE" w:eastAsia="ko-KR"/>
                    </w:rPr>
                    <w:t>1</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73C8B6B7" w14:textId="77777777" w:rsidR="005E127D" w:rsidRPr="00DC16A5" w:rsidRDefault="005E127D" w:rsidP="00CC7FC4">
                  <w:pPr>
                    <w:rPr>
                      <w:rFonts w:eastAsia="宋体"/>
                      <w:snapToGrid w:val="0"/>
                      <w:highlight w:val="green"/>
                      <w:lang w:val="de-DE" w:eastAsia="ko-KR"/>
                    </w:rPr>
                  </w:pPr>
                  <w:r w:rsidRPr="00DC16A5">
                    <w:rPr>
                      <w:rFonts w:eastAsia="宋体"/>
                      <w:snapToGrid w:val="0"/>
                      <w:highlight w:val="green"/>
                      <w:lang w:val="de-DE" w:eastAsia="ko-KR"/>
                    </w:rPr>
                    <w:t xml:space="preserve">SA event triggered reporting tests for NCD-SSB without gap under non-DRX </w:t>
                  </w:r>
                </w:p>
              </w:tc>
              <w:tc>
                <w:tcPr>
                  <w:tcW w:w="233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61687FB" w14:textId="77777777" w:rsidR="005E127D" w:rsidRPr="00DC16A5" w:rsidRDefault="005E127D" w:rsidP="00CC7FC4">
                  <w:pPr>
                    <w:rPr>
                      <w:rFonts w:eastAsia="宋体"/>
                      <w:sz w:val="22"/>
                      <w:highlight w:val="green"/>
                      <w:lang w:val="de-DE" w:eastAsia="ko-KR"/>
                    </w:rPr>
                  </w:pPr>
                  <w:r w:rsidRPr="00DC16A5">
                    <w:rPr>
                      <w:rFonts w:eastAsia="宋体"/>
                      <w:snapToGrid w:val="0"/>
                      <w:highlight w:val="green"/>
                      <w:lang w:val="de-DE" w:eastAsia="ko-KR"/>
                    </w:rPr>
                    <w:t>d</w:t>
                  </w:r>
                </w:p>
              </w:tc>
            </w:tr>
            <w:tr w:rsidR="005E127D" w:rsidRPr="00DC16A5" w14:paraId="4B909BF5" w14:textId="77777777" w:rsidTr="00CC7FC4">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79F29" w14:textId="77777777" w:rsidR="005E127D" w:rsidRPr="00DC16A5" w:rsidRDefault="005E127D" w:rsidP="00CC7FC4">
                  <w:pPr>
                    <w:rPr>
                      <w:rFonts w:eastAsia="宋体"/>
                      <w:highlight w:val="green"/>
                      <w:lang w:val="de-DE" w:eastAsia="ko-KR"/>
                    </w:rPr>
                  </w:pPr>
                  <w:r w:rsidRPr="00DC16A5">
                    <w:rPr>
                      <w:rFonts w:eastAsia="宋体"/>
                      <w:highlight w:val="green"/>
                      <w:lang w:val="de-DE" w:eastAsia="ko-KR"/>
                    </w:rPr>
                    <w:t>2</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3AC1AB7B" w14:textId="77777777" w:rsidR="005E127D" w:rsidRPr="00DC16A5" w:rsidRDefault="005E127D" w:rsidP="00CC7FC4">
                  <w:pPr>
                    <w:rPr>
                      <w:rFonts w:eastAsia="宋体"/>
                      <w:snapToGrid w:val="0"/>
                      <w:highlight w:val="green"/>
                      <w:lang w:val="de-DE" w:eastAsia="ko-KR"/>
                    </w:rPr>
                  </w:pPr>
                  <w:r w:rsidRPr="00DC16A5">
                    <w:rPr>
                      <w:rFonts w:eastAsia="宋体"/>
                      <w:snapToGrid w:val="0"/>
                      <w:highlight w:val="green"/>
                      <w:lang w:val="de-DE" w:eastAsia="ko-KR"/>
                    </w:rPr>
                    <w:t>SA event triggered reporting tests for NCD-SSB</w:t>
                  </w:r>
                  <w:r w:rsidRPr="003D6E53">
                    <w:rPr>
                      <w:rFonts w:eastAsia="宋体"/>
                      <w:snapToGrid w:val="0"/>
                      <w:highlight w:val="yellow"/>
                      <w:lang w:val="de-DE" w:eastAsia="ko-KR"/>
                    </w:rPr>
                    <w:t xml:space="preserve"> with per-UE gaps </w:t>
                  </w:r>
                  <w:r w:rsidRPr="00DC16A5">
                    <w:rPr>
                      <w:rFonts w:eastAsia="宋体"/>
                      <w:snapToGrid w:val="0"/>
                      <w:highlight w:val="green"/>
                      <w:lang w:val="de-DE" w:eastAsia="ko-KR"/>
                    </w:rPr>
                    <w:t>under non-DRX</w:t>
                  </w:r>
                </w:p>
              </w:tc>
              <w:tc>
                <w:tcPr>
                  <w:tcW w:w="0" w:type="auto"/>
                  <w:vMerge/>
                  <w:tcBorders>
                    <w:top w:val="nil"/>
                    <w:left w:val="nil"/>
                    <w:bottom w:val="single" w:sz="8" w:space="0" w:color="auto"/>
                    <w:right w:val="single" w:sz="8" w:space="0" w:color="auto"/>
                  </w:tcBorders>
                  <w:vAlign w:val="center"/>
                  <w:hideMark/>
                </w:tcPr>
                <w:p w14:paraId="32DC6161" w14:textId="77777777" w:rsidR="005E127D" w:rsidRPr="00DC16A5" w:rsidRDefault="005E127D" w:rsidP="00CC7FC4">
                  <w:pPr>
                    <w:rPr>
                      <w:rFonts w:ascii="Calibri" w:hAnsi="Calibri" w:cs="Calibri"/>
                      <w:sz w:val="22"/>
                      <w:highlight w:val="green"/>
                      <w:lang w:val="de-DE" w:eastAsia="ja-JP"/>
                    </w:rPr>
                  </w:pPr>
                </w:p>
              </w:tc>
            </w:tr>
            <w:tr w:rsidR="005E127D" w:rsidRPr="00DC16A5" w14:paraId="01C0C5BC" w14:textId="77777777" w:rsidTr="00CC7FC4">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BD80E" w14:textId="77777777" w:rsidR="005E127D" w:rsidRPr="00DC16A5" w:rsidRDefault="005E127D" w:rsidP="00CC7FC4">
                  <w:pPr>
                    <w:rPr>
                      <w:rFonts w:eastAsia="宋体"/>
                      <w:sz w:val="22"/>
                      <w:highlight w:val="green"/>
                      <w:lang w:val="de-DE" w:eastAsia="ko-KR"/>
                    </w:rPr>
                  </w:pPr>
                  <w:r w:rsidRPr="00DC16A5">
                    <w:rPr>
                      <w:rFonts w:eastAsia="宋体"/>
                      <w:highlight w:val="green"/>
                      <w:lang w:val="de-DE" w:eastAsia="ko-KR"/>
                    </w:rPr>
                    <w:t>3</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125C4098" w14:textId="77777777" w:rsidR="005E127D" w:rsidRPr="00DC16A5" w:rsidRDefault="005E127D" w:rsidP="00CC7FC4">
                  <w:pPr>
                    <w:rPr>
                      <w:rFonts w:eastAsia="宋体"/>
                      <w:snapToGrid w:val="0"/>
                      <w:highlight w:val="green"/>
                      <w:lang w:val="de-DE" w:eastAsia="ko-KR"/>
                    </w:rPr>
                  </w:pPr>
                  <w:r w:rsidRPr="00DC16A5">
                    <w:rPr>
                      <w:rFonts w:eastAsia="宋体"/>
                      <w:snapToGrid w:val="0"/>
                      <w:highlight w:val="green"/>
                      <w:lang w:val="de-DE" w:eastAsia="ko-KR"/>
                    </w:rPr>
                    <w:t>SA event triggered reporting tests for NCD-SSB without gap under non-DRX with SSB index reading</w:t>
                  </w:r>
                </w:p>
              </w:tc>
              <w:tc>
                <w:tcPr>
                  <w:tcW w:w="0" w:type="auto"/>
                  <w:vMerge/>
                  <w:tcBorders>
                    <w:top w:val="nil"/>
                    <w:left w:val="nil"/>
                    <w:bottom w:val="single" w:sz="8" w:space="0" w:color="auto"/>
                    <w:right w:val="single" w:sz="8" w:space="0" w:color="auto"/>
                  </w:tcBorders>
                  <w:vAlign w:val="center"/>
                  <w:hideMark/>
                </w:tcPr>
                <w:p w14:paraId="7826C0D6" w14:textId="77777777" w:rsidR="005E127D" w:rsidRPr="00DC16A5" w:rsidRDefault="005E127D" w:rsidP="00CC7FC4">
                  <w:pPr>
                    <w:rPr>
                      <w:rFonts w:ascii="Calibri" w:hAnsi="Calibri" w:cs="Calibri"/>
                      <w:sz w:val="22"/>
                      <w:highlight w:val="green"/>
                      <w:lang w:val="de-DE" w:eastAsia="ja-JP"/>
                    </w:rPr>
                  </w:pPr>
                </w:p>
              </w:tc>
            </w:tr>
            <w:tr w:rsidR="005E127D" w:rsidRPr="00DC16A5" w14:paraId="55816A6B" w14:textId="77777777" w:rsidTr="00CC7FC4">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E77AA" w14:textId="77777777" w:rsidR="005E127D" w:rsidRPr="00DC16A5" w:rsidRDefault="005E127D" w:rsidP="00CC7FC4">
                  <w:pPr>
                    <w:rPr>
                      <w:rFonts w:eastAsia="宋体"/>
                      <w:sz w:val="22"/>
                      <w:highlight w:val="green"/>
                      <w:lang w:val="de-DE" w:eastAsia="ko-KR"/>
                    </w:rPr>
                  </w:pPr>
                  <w:r w:rsidRPr="00DC16A5">
                    <w:rPr>
                      <w:rFonts w:eastAsia="宋体"/>
                      <w:highlight w:val="green"/>
                      <w:lang w:val="de-DE" w:eastAsia="ko-KR"/>
                    </w:rPr>
                    <w:t>4</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37F1A1B5" w14:textId="77777777" w:rsidR="005E127D" w:rsidRPr="00DC16A5" w:rsidRDefault="005E127D" w:rsidP="00CC7FC4">
                  <w:pPr>
                    <w:rPr>
                      <w:rFonts w:eastAsia="宋体"/>
                      <w:lang w:val="de-DE" w:eastAsia="ko-KR"/>
                    </w:rPr>
                  </w:pPr>
                  <w:r w:rsidRPr="00DC16A5">
                    <w:rPr>
                      <w:rFonts w:eastAsia="宋体"/>
                      <w:snapToGrid w:val="0"/>
                      <w:highlight w:val="green"/>
                      <w:lang w:val="de-DE" w:eastAsia="ko-KR"/>
                    </w:rPr>
                    <w:t xml:space="preserve">SA event triggered reporting tests for NCD-SSB </w:t>
                  </w:r>
                  <w:r w:rsidRPr="003D6E53">
                    <w:rPr>
                      <w:rFonts w:eastAsia="宋体"/>
                      <w:snapToGrid w:val="0"/>
                      <w:highlight w:val="yellow"/>
                      <w:lang w:val="de-DE" w:eastAsia="ko-KR"/>
                    </w:rPr>
                    <w:t xml:space="preserve">with per-UE gaps </w:t>
                  </w:r>
                  <w:r w:rsidRPr="00DC16A5">
                    <w:rPr>
                      <w:rFonts w:eastAsia="宋体"/>
                      <w:snapToGrid w:val="0"/>
                      <w:highlight w:val="green"/>
                      <w:lang w:val="de-DE" w:eastAsia="ko-KR"/>
                    </w:rPr>
                    <w:t>under non-DRX with SSB index reading</w:t>
                  </w:r>
                </w:p>
              </w:tc>
              <w:tc>
                <w:tcPr>
                  <w:tcW w:w="0" w:type="auto"/>
                  <w:vMerge/>
                  <w:tcBorders>
                    <w:top w:val="nil"/>
                    <w:left w:val="nil"/>
                    <w:bottom w:val="single" w:sz="8" w:space="0" w:color="auto"/>
                    <w:right w:val="single" w:sz="8" w:space="0" w:color="auto"/>
                  </w:tcBorders>
                  <w:vAlign w:val="center"/>
                  <w:hideMark/>
                </w:tcPr>
                <w:p w14:paraId="4BD56B47" w14:textId="77777777" w:rsidR="005E127D" w:rsidRPr="00DC16A5" w:rsidRDefault="005E127D" w:rsidP="00CC7FC4">
                  <w:pPr>
                    <w:rPr>
                      <w:rFonts w:ascii="Calibri" w:hAnsi="Calibri" w:cs="Calibri"/>
                      <w:sz w:val="22"/>
                      <w:lang w:val="de-DE" w:eastAsia="ja-JP"/>
                    </w:rPr>
                  </w:pPr>
                </w:p>
              </w:tc>
            </w:tr>
          </w:tbl>
          <w:p w14:paraId="60DC6CBA" w14:textId="77777777" w:rsidR="005E127D" w:rsidRPr="00876540" w:rsidRDefault="005E127D" w:rsidP="00CC7FC4">
            <w:pPr>
              <w:rPr>
                <w:sz w:val="18"/>
                <w:szCs w:val="18"/>
              </w:rPr>
            </w:pPr>
          </w:p>
        </w:tc>
      </w:tr>
    </w:tbl>
    <w:p w14:paraId="395FE2B3" w14:textId="77777777" w:rsidR="005E127D" w:rsidRPr="005E127D" w:rsidRDefault="005E127D" w:rsidP="005E127D"/>
    <w:p w14:paraId="216D44B1" w14:textId="36F07628" w:rsidR="005E127D" w:rsidRPr="00D54367" w:rsidRDefault="00546E16" w:rsidP="00F40B3F">
      <w:pPr>
        <w:rPr>
          <w:lang w:eastAsia="zh-CN"/>
        </w:rPr>
      </w:pPr>
      <w:r>
        <w:rPr>
          <w:rFonts w:hint="eastAsia"/>
          <w:lang w:eastAsia="zh-CN"/>
        </w:rPr>
        <w:t>For</w:t>
      </w:r>
      <w:r>
        <w:t xml:space="preserve"> test cases with NCD-SSB for intra-frequency measurement with gap (test #2 and #4)</w:t>
      </w:r>
      <w:r>
        <w:rPr>
          <w:rFonts w:hint="eastAsia"/>
          <w:lang w:eastAsia="zh-CN"/>
        </w:rPr>
        <w:t>,</w:t>
      </w:r>
      <w:r>
        <w:rPr>
          <w:lang w:eastAsia="zh-CN"/>
        </w:rPr>
        <w:t xml:space="preserve"> </w:t>
      </w:r>
      <w:r w:rsidR="00F40B3F">
        <w:rPr>
          <w:lang w:eastAsia="zh-CN"/>
        </w:rPr>
        <w:t xml:space="preserve">SSB configuration </w:t>
      </w:r>
      <w:r w:rsidR="00F40B3F">
        <w:rPr>
          <w:rFonts w:hint="eastAsia"/>
          <w:lang w:eastAsia="zh-CN"/>
        </w:rPr>
        <w:t>(</w:t>
      </w:r>
      <w:r w:rsidR="00F40B3F">
        <w:rPr>
          <w:lang w:eastAsia="zh-CN"/>
        </w:rPr>
        <w:t xml:space="preserve">d) was also agreed. </w:t>
      </w:r>
      <w:r w:rsidR="00A06037">
        <w:rPr>
          <w:lang w:eastAsia="zh-CN"/>
        </w:rPr>
        <w:t>A</w:t>
      </w:r>
      <w:r w:rsidR="00F40B3F">
        <w:rPr>
          <w:lang w:eastAsia="zh-CN"/>
        </w:rPr>
        <w:t>fter further checking</w:t>
      </w:r>
      <w:r w:rsidR="00A06037">
        <w:rPr>
          <w:lang w:eastAsia="zh-CN"/>
        </w:rPr>
        <w:t xml:space="preserve"> the definition of intra-frequency measurement of Redcap UE</w:t>
      </w:r>
      <w:r w:rsidR="00F40B3F">
        <w:rPr>
          <w:lang w:eastAsia="zh-CN"/>
        </w:rPr>
        <w:t>, we found that NCD-SSB needs to in active BWP as reference SSB for intra-frequency</w:t>
      </w:r>
      <w:r w:rsidR="00A06037">
        <w:rPr>
          <w:lang w:eastAsia="zh-CN"/>
        </w:rPr>
        <w:t xml:space="preserve"> </w:t>
      </w:r>
      <w:r w:rsidR="00A06037">
        <w:rPr>
          <w:rFonts w:hint="eastAsia"/>
          <w:lang w:eastAsia="zh-CN"/>
        </w:rPr>
        <w:t>if</w:t>
      </w:r>
      <w:r w:rsidR="00A06037">
        <w:rPr>
          <w:lang w:eastAsia="zh-CN"/>
        </w:rPr>
        <w:t xml:space="preserve"> </w:t>
      </w:r>
      <w:r w:rsidR="00A06037">
        <w:rPr>
          <w:rFonts w:hint="eastAsia"/>
          <w:lang w:eastAsia="zh-CN"/>
        </w:rPr>
        <w:t>only</w:t>
      </w:r>
      <w:r w:rsidR="00A06037">
        <w:rPr>
          <w:lang w:eastAsia="zh-CN"/>
        </w:rPr>
        <w:t xml:space="preserve"> </w:t>
      </w:r>
      <w:r w:rsidR="00A06037">
        <w:rPr>
          <w:rFonts w:hint="eastAsia"/>
          <w:lang w:eastAsia="zh-CN"/>
        </w:rPr>
        <w:t>NCD-SSB</w:t>
      </w:r>
      <w:r w:rsidR="00A06037">
        <w:rPr>
          <w:lang w:eastAsia="zh-CN"/>
        </w:rPr>
        <w:t xml:space="preserve"> </w:t>
      </w:r>
      <w:r w:rsidR="00A06037">
        <w:rPr>
          <w:rFonts w:hint="eastAsia"/>
          <w:lang w:eastAsia="zh-CN"/>
        </w:rPr>
        <w:t>is</w:t>
      </w:r>
      <w:r w:rsidR="00A06037">
        <w:rPr>
          <w:lang w:eastAsia="zh-CN"/>
        </w:rPr>
        <w:t xml:space="preserve"> </w:t>
      </w:r>
      <w:r w:rsidR="00A06037">
        <w:rPr>
          <w:rFonts w:hint="eastAsia"/>
          <w:lang w:eastAsia="zh-CN"/>
        </w:rPr>
        <w:t>configured</w:t>
      </w:r>
      <w:r w:rsidR="00A06037">
        <w:rPr>
          <w:lang w:eastAsia="zh-CN"/>
        </w:rPr>
        <w:t xml:space="preserve"> </w:t>
      </w:r>
      <w:r w:rsidR="00A06037">
        <w:rPr>
          <w:rFonts w:hint="eastAsia"/>
          <w:lang w:eastAsia="zh-CN"/>
        </w:rPr>
        <w:t>for</w:t>
      </w:r>
      <w:r w:rsidR="00A06037">
        <w:rPr>
          <w:lang w:eastAsia="zh-CN"/>
        </w:rPr>
        <w:t xml:space="preserve"> </w:t>
      </w:r>
      <w:r w:rsidR="00A06037">
        <w:rPr>
          <w:rFonts w:hint="eastAsia"/>
          <w:lang w:eastAsia="zh-CN"/>
        </w:rPr>
        <w:t>the</w:t>
      </w:r>
      <w:r w:rsidR="00A06037">
        <w:rPr>
          <w:lang w:eastAsia="zh-CN"/>
        </w:rPr>
        <w:t xml:space="preserve"> </w:t>
      </w:r>
      <w:r w:rsidR="00A06037">
        <w:rPr>
          <w:rFonts w:hint="eastAsia"/>
          <w:lang w:eastAsia="zh-CN"/>
        </w:rPr>
        <w:t>serving</w:t>
      </w:r>
      <w:r w:rsidR="00A06037">
        <w:rPr>
          <w:lang w:eastAsia="zh-CN"/>
        </w:rPr>
        <w:t xml:space="preserve"> </w:t>
      </w:r>
      <w:r w:rsidR="00A06037">
        <w:rPr>
          <w:rFonts w:hint="eastAsia"/>
          <w:lang w:eastAsia="zh-CN"/>
        </w:rPr>
        <w:t>cell</w:t>
      </w:r>
      <w:r w:rsidR="00F40B3F">
        <w:rPr>
          <w:lang w:eastAsia="zh-CN"/>
        </w:rPr>
        <w:t xml:space="preserve">. </w:t>
      </w:r>
      <w:r w:rsidR="00A06037">
        <w:rPr>
          <w:lang w:eastAsia="zh-CN"/>
        </w:rPr>
        <w:t>If t</w:t>
      </w:r>
      <w:r w:rsidR="00A06037" w:rsidRPr="005E127D">
        <w:rPr>
          <w:lang w:eastAsia="zh-CN"/>
        </w:rPr>
        <w:t xml:space="preserve">he centre frequency of serving cell and the centre frequency of target SSB of the neighbour cell are the same, and the subcarrier spacing of the two SSBs are also the same, </w:t>
      </w:r>
      <w:r w:rsidR="005E127D" w:rsidRPr="005E127D">
        <w:rPr>
          <w:lang w:eastAsia="zh-CN"/>
        </w:rPr>
        <w:t xml:space="preserve">then </w:t>
      </w:r>
      <w:r w:rsidR="00A06037" w:rsidRPr="005E127D">
        <w:rPr>
          <w:lang w:eastAsia="zh-CN"/>
        </w:rPr>
        <w:t>the target SSB is also within active BW</w:t>
      </w:r>
      <w:r w:rsidR="005E127D" w:rsidRPr="005E127D">
        <w:rPr>
          <w:rFonts w:hint="eastAsia"/>
          <w:lang w:eastAsia="zh-CN"/>
        </w:rPr>
        <w:t>P</w:t>
      </w:r>
      <w:r w:rsidR="005E127D">
        <w:rPr>
          <w:lang w:eastAsia="zh-CN"/>
        </w:rPr>
        <w:t xml:space="preserve"> and gap is not needed any more. This is not aligned with the purpose of th</w:t>
      </w:r>
      <w:r w:rsidR="00D54367">
        <w:rPr>
          <w:rFonts w:hint="eastAsia"/>
          <w:lang w:eastAsia="zh-CN"/>
        </w:rPr>
        <w:t>ese</w:t>
      </w:r>
      <w:r w:rsidR="005E127D">
        <w:rPr>
          <w:lang w:eastAsia="zh-CN"/>
        </w:rPr>
        <w:t xml:space="preserve"> test</w:t>
      </w:r>
      <w:r w:rsidR="00D54367">
        <w:rPr>
          <w:rFonts w:hint="eastAsia"/>
          <w:lang w:eastAsia="zh-CN"/>
        </w:rPr>
        <w:t>s</w:t>
      </w:r>
      <w:r w:rsidR="00D54367">
        <w:rPr>
          <w:lang w:eastAsia="zh-CN"/>
        </w:rPr>
        <w:t xml:space="preserve"> </w:t>
      </w:r>
      <w:r w:rsidR="00D54367">
        <w:rPr>
          <w:rFonts w:hint="eastAsia"/>
          <w:lang w:eastAsia="zh-CN"/>
        </w:rPr>
        <w:t>#2</w:t>
      </w:r>
      <w:r w:rsidR="00D54367">
        <w:rPr>
          <w:lang w:eastAsia="zh-CN"/>
        </w:rPr>
        <w:t xml:space="preserve"> </w:t>
      </w:r>
      <w:r w:rsidR="00D54367">
        <w:rPr>
          <w:rFonts w:hint="eastAsia"/>
          <w:lang w:eastAsia="zh-CN"/>
        </w:rPr>
        <w:t>and</w:t>
      </w:r>
      <w:r w:rsidR="00D54367">
        <w:rPr>
          <w:lang w:eastAsia="zh-CN"/>
        </w:rPr>
        <w:t xml:space="preserve"> </w:t>
      </w:r>
      <w:r w:rsidR="00D54367">
        <w:rPr>
          <w:rFonts w:hint="eastAsia"/>
          <w:lang w:eastAsia="zh-CN"/>
        </w:rPr>
        <w:t>#4</w:t>
      </w:r>
      <w:r w:rsidR="005E127D">
        <w:rPr>
          <w:lang w:eastAsia="zh-CN"/>
        </w:rPr>
        <w:t>.</w:t>
      </w:r>
      <w:r w:rsidR="005E127D" w:rsidRPr="005E127D">
        <w:rPr>
          <w:lang w:eastAsia="zh-CN"/>
        </w:rPr>
        <w:t xml:space="preserve"> </w:t>
      </w:r>
    </w:p>
    <w:tbl>
      <w:tblPr>
        <w:tblStyle w:val="a7"/>
        <w:tblW w:w="0" w:type="auto"/>
        <w:tblLook w:val="04A0" w:firstRow="1" w:lastRow="0" w:firstColumn="1" w:lastColumn="0" w:noHBand="0" w:noVBand="1"/>
      </w:tblPr>
      <w:tblGrid>
        <w:gridCol w:w="9617"/>
      </w:tblGrid>
      <w:tr w:rsidR="005E127D" w14:paraId="34BA80A5" w14:textId="77777777" w:rsidTr="005E127D">
        <w:tc>
          <w:tcPr>
            <w:tcW w:w="9617" w:type="dxa"/>
          </w:tcPr>
          <w:p w14:paraId="71E609F6" w14:textId="77777777" w:rsidR="005E127D" w:rsidRPr="005E127D" w:rsidRDefault="005E127D" w:rsidP="005E127D">
            <w:pPr>
              <w:pStyle w:val="a5"/>
              <w:numPr>
                <w:ilvl w:val="0"/>
                <w:numId w:val="39"/>
              </w:numPr>
              <w:spacing w:after="180"/>
              <w:jc w:val="both"/>
              <w:rPr>
                <w:rFonts w:eastAsia="Times New Roman" w:cs="Times New Roman"/>
                <w:szCs w:val="20"/>
                <w:lang w:eastAsia="da-DK"/>
              </w:rPr>
            </w:pPr>
            <w:r w:rsidRPr="00BC24CE">
              <w:rPr>
                <w:rFonts w:eastAsia="Times New Roman" w:cs="Times New Roman"/>
                <w:szCs w:val="20"/>
                <w:highlight w:val="green"/>
                <w:lang w:eastAsia="da-DK"/>
              </w:rPr>
              <w:t>From RAN2 signaling point of view,</w:t>
            </w:r>
            <w:r w:rsidRPr="005E127D">
              <w:rPr>
                <w:rFonts w:eastAsia="Times New Roman" w:cs="Times New Roman"/>
                <w:szCs w:val="20"/>
                <w:lang w:eastAsia="da-DK"/>
              </w:rPr>
              <w:t xml:space="preserve"> </w:t>
            </w:r>
          </w:p>
          <w:p w14:paraId="21192246" w14:textId="77777777" w:rsidR="005E127D" w:rsidRPr="000019A3" w:rsidRDefault="005E127D" w:rsidP="005E127D">
            <w:pPr>
              <w:numPr>
                <w:ilvl w:val="0"/>
                <w:numId w:val="26"/>
              </w:numPr>
              <w:spacing w:after="180"/>
              <w:jc w:val="both"/>
              <w:textAlignment w:val="center"/>
              <w:rPr>
                <w:rFonts w:ascii="Calibri" w:eastAsia="Times New Roman" w:hAnsi="Calibri" w:cs="Calibri"/>
                <w:sz w:val="22"/>
                <w:lang w:eastAsia="da-DK"/>
              </w:rPr>
            </w:pPr>
            <w:r w:rsidRPr="000019A3">
              <w:rPr>
                <w:rFonts w:eastAsia="Times New Roman" w:cs="Times New Roman"/>
                <w:szCs w:val="20"/>
                <w:lang w:eastAsia="da-DK"/>
              </w:rPr>
              <w:t xml:space="preserve">a BWP-specific </w:t>
            </w:r>
            <w:proofErr w:type="spellStart"/>
            <w:r w:rsidRPr="000019A3">
              <w:rPr>
                <w:rFonts w:eastAsia="Times New Roman" w:cs="Times New Roman"/>
                <w:szCs w:val="20"/>
                <w:lang w:eastAsia="da-DK"/>
              </w:rPr>
              <w:t>servingCellMO</w:t>
            </w:r>
            <w:proofErr w:type="spellEnd"/>
            <w:r w:rsidRPr="000019A3">
              <w:rPr>
                <w:rFonts w:eastAsia="Times New Roman" w:cs="Times New Roman"/>
                <w:szCs w:val="20"/>
                <w:lang w:eastAsia="da-DK"/>
              </w:rPr>
              <w:t xml:space="preserve"> is defined under BWP-</w:t>
            </w:r>
            <w:proofErr w:type="spellStart"/>
            <w:r w:rsidRPr="000019A3">
              <w:rPr>
                <w:rFonts w:eastAsia="Times New Roman" w:cs="Times New Roman"/>
                <w:szCs w:val="20"/>
                <w:lang w:eastAsia="da-DK"/>
              </w:rPr>
              <w:t>DownlinkDedicated</w:t>
            </w:r>
            <w:proofErr w:type="spellEnd"/>
            <w:r w:rsidRPr="000019A3">
              <w:rPr>
                <w:rFonts w:eastAsia="Times New Roman" w:cs="Times New Roman"/>
                <w:szCs w:val="20"/>
                <w:lang w:eastAsia="da-DK"/>
              </w:rPr>
              <w:t xml:space="preserve">, the SSB defined in this </w:t>
            </w:r>
            <w:proofErr w:type="spellStart"/>
            <w:r w:rsidRPr="000019A3">
              <w:rPr>
                <w:rFonts w:eastAsia="Times New Roman" w:cs="Times New Roman"/>
                <w:szCs w:val="20"/>
                <w:lang w:eastAsia="da-DK"/>
              </w:rPr>
              <w:t>servingCellMO</w:t>
            </w:r>
            <w:proofErr w:type="spellEnd"/>
            <w:r w:rsidRPr="000019A3">
              <w:rPr>
                <w:rFonts w:eastAsia="Times New Roman" w:cs="Times New Roman"/>
                <w:szCs w:val="20"/>
                <w:lang w:eastAsia="da-DK"/>
              </w:rPr>
              <w:t xml:space="preserve"> is the reference SSB to be used for serving cell measurements when the UE is in this active BWP; </w:t>
            </w:r>
          </w:p>
          <w:p w14:paraId="5C448D4D" w14:textId="77777777" w:rsidR="005E127D" w:rsidRPr="000019A3" w:rsidRDefault="005E127D" w:rsidP="005E127D">
            <w:pPr>
              <w:numPr>
                <w:ilvl w:val="0"/>
                <w:numId w:val="26"/>
              </w:numPr>
              <w:spacing w:after="180"/>
              <w:jc w:val="both"/>
              <w:textAlignment w:val="center"/>
              <w:rPr>
                <w:rFonts w:ascii="Calibri" w:eastAsia="Times New Roman" w:hAnsi="Calibri" w:cs="Calibri"/>
                <w:sz w:val="22"/>
                <w:lang w:eastAsia="da-DK"/>
              </w:rPr>
            </w:pPr>
            <w:r w:rsidRPr="000019A3">
              <w:rPr>
                <w:rFonts w:eastAsia="Times New Roman" w:cs="Times New Roman"/>
                <w:szCs w:val="20"/>
                <w:lang w:eastAsia="da-DK"/>
              </w:rPr>
              <w:t xml:space="preserve">if the field is absent, SSB defined in </w:t>
            </w:r>
            <w:proofErr w:type="spellStart"/>
            <w:r w:rsidRPr="000019A3">
              <w:rPr>
                <w:rFonts w:eastAsia="Times New Roman" w:cs="Times New Roman"/>
                <w:szCs w:val="20"/>
                <w:lang w:eastAsia="da-DK"/>
              </w:rPr>
              <w:t>servingCellMO</w:t>
            </w:r>
            <w:proofErr w:type="spellEnd"/>
            <w:r w:rsidRPr="000019A3">
              <w:rPr>
                <w:rFonts w:eastAsia="Times New Roman" w:cs="Times New Roman"/>
                <w:szCs w:val="20"/>
                <w:lang w:eastAsia="da-DK"/>
              </w:rPr>
              <w:t xml:space="preserve"> under </w:t>
            </w:r>
            <w:proofErr w:type="spellStart"/>
            <w:r w:rsidRPr="000019A3">
              <w:rPr>
                <w:rFonts w:eastAsia="Times New Roman" w:cs="Times New Roman"/>
                <w:szCs w:val="20"/>
                <w:lang w:eastAsia="da-DK"/>
              </w:rPr>
              <w:t>ServingCellConfig</w:t>
            </w:r>
            <w:proofErr w:type="spellEnd"/>
            <w:r w:rsidRPr="000019A3">
              <w:rPr>
                <w:rFonts w:eastAsia="Times New Roman" w:cs="Times New Roman"/>
                <w:szCs w:val="20"/>
                <w:lang w:eastAsia="da-DK"/>
              </w:rPr>
              <w:t xml:space="preserve"> is the reference SSB to be used for serving cell measurements. </w:t>
            </w:r>
          </w:p>
          <w:p w14:paraId="4CEDB3D0" w14:textId="77777777" w:rsidR="005E127D" w:rsidRPr="000019A3" w:rsidRDefault="005E127D" w:rsidP="005E127D">
            <w:pPr>
              <w:numPr>
                <w:ilvl w:val="0"/>
                <w:numId w:val="26"/>
              </w:numPr>
              <w:spacing w:after="180"/>
              <w:jc w:val="both"/>
              <w:textAlignment w:val="center"/>
              <w:rPr>
                <w:rFonts w:ascii="Calibri" w:eastAsia="Times New Roman" w:hAnsi="Calibri" w:cs="Calibri"/>
                <w:sz w:val="22"/>
                <w:lang w:eastAsia="da-DK"/>
              </w:rPr>
            </w:pPr>
            <w:r w:rsidRPr="000019A3">
              <w:rPr>
                <w:rFonts w:eastAsia="Times New Roman" w:cs="Times New Roman"/>
                <w:szCs w:val="20"/>
                <w:lang w:eastAsia="da-DK"/>
              </w:rPr>
              <w:t>This reference SSB is used to define intra-frequency measurements.</w:t>
            </w:r>
          </w:p>
          <w:p w14:paraId="56182188" w14:textId="77777777" w:rsidR="005E127D" w:rsidRPr="005E127D" w:rsidRDefault="005E127D" w:rsidP="005E127D">
            <w:pPr>
              <w:pStyle w:val="a5"/>
              <w:numPr>
                <w:ilvl w:val="0"/>
                <w:numId w:val="39"/>
              </w:numPr>
              <w:spacing w:after="180"/>
              <w:jc w:val="both"/>
              <w:rPr>
                <w:rFonts w:eastAsia="Times New Roman" w:cs="Times New Roman"/>
                <w:szCs w:val="20"/>
                <w:lang w:eastAsia="da-DK"/>
              </w:rPr>
            </w:pPr>
            <w:r w:rsidRPr="00BC24CE">
              <w:rPr>
                <w:rFonts w:eastAsia="Times New Roman" w:cs="Times New Roman"/>
                <w:szCs w:val="20"/>
                <w:highlight w:val="green"/>
                <w:lang w:eastAsia="da-DK"/>
              </w:rPr>
              <w:lastRenderedPageBreak/>
              <w:t>From RAN4 point of view</w:t>
            </w:r>
            <w:r w:rsidRPr="005E127D">
              <w:rPr>
                <w:rFonts w:eastAsia="Times New Roman" w:cs="Times New Roman"/>
                <w:szCs w:val="20"/>
                <w:lang w:eastAsia="da-DK"/>
              </w:rPr>
              <w:t xml:space="preserve">, </w:t>
            </w:r>
          </w:p>
          <w:p w14:paraId="5BA3C49C" w14:textId="6D47F9E9" w:rsidR="005E127D" w:rsidRPr="005E127D" w:rsidRDefault="005E127D" w:rsidP="005E127D">
            <w:pPr>
              <w:numPr>
                <w:ilvl w:val="0"/>
                <w:numId w:val="26"/>
              </w:numPr>
              <w:spacing w:after="180"/>
              <w:jc w:val="both"/>
              <w:textAlignment w:val="center"/>
              <w:rPr>
                <w:rFonts w:eastAsia="Times New Roman" w:cs="Times New Roman"/>
                <w:szCs w:val="20"/>
                <w:lang w:val="en-GB" w:eastAsia="da-DK"/>
              </w:rPr>
            </w:pPr>
            <w:r w:rsidRPr="005E127D">
              <w:rPr>
                <w:rFonts w:eastAsia="Times New Roman" w:cs="Times New Roman"/>
                <w:szCs w:val="20"/>
                <w:lang w:eastAsia="da-DK"/>
              </w:rPr>
              <w:t>For the definition of SSB based intra-frequency measurement, t</w:t>
            </w:r>
            <w:r w:rsidRPr="005E127D">
              <w:rPr>
                <w:rFonts w:eastAsia="Times New Roman" w:cs="Times New Roman"/>
                <w:szCs w:val="20"/>
                <w:lang w:val="en-GB" w:eastAsia="da-DK"/>
              </w:rPr>
              <w:t xml:space="preserve">he centre frequency of the </w:t>
            </w:r>
            <w:r w:rsidRPr="00BC24CE">
              <w:rPr>
                <w:rFonts w:eastAsia="Times New Roman" w:cs="Times New Roman"/>
                <w:color w:val="FF0000"/>
                <w:szCs w:val="20"/>
                <w:lang w:val="en-GB" w:eastAsia="da-DK"/>
              </w:rPr>
              <w:t>reference SSB</w:t>
            </w:r>
            <w:r w:rsidRPr="005E127D">
              <w:rPr>
                <w:rFonts w:eastAsia="Times New Roman" w:cs="Times New Roman"/>
                <w:szCs w:val="20"/>
                <w:lang w:val="en-GB" w:eastAsia="da-DK"/>
              </w:rPr>
              <w:t xml:space="preserve"> of the serving cell and the centre frequency of the SSB of the neighbour cell are the same, and the subcarrier spacing of the two SSBs are also the same. The reference SSB is the SSB defined in BWP-specific </w:t>
            </w:r>
            <w:proofErr w:type="spellStart"/>
            <w:r w:rsidRPr="005E127D">
              <w:rPr>
                <w:rFonts w:eastAsia="Times New Roman" w:cs="Times New Roman"/>
                <w:i/>
                <w:iCs/>
                <w:szCs w:val="20"/>
                <w:lang w:val="en-GB" w:eastAsia="da-DK"/>
              </w:rPr>
              <w:t>servingCellMO</w:t>
            </w:r>
            <w:proofErr w:type="spellEnd"/>
            <w:r w:rsidRPr="005E127D">
              <w:rPr>
                <w:rFonts w:eastAsia="Times New Roman" w:cs="Times New Roman"/>
                <w:szCs w:val="20"/>
                <w:lang w:val="en-GB" w:eastAsia="da-DK"/>
              </w:rPr>
              <w:t> under </w:t>
            </w:r>
            <w:r w:rsidRPr="005E127D">
              <w:rPr>
                <w:rFonts w:eastAsia="Times New Roman" w:cs="Times New Roman"/>
                <w:i/>
                <w:iCs/>
                <w:szCs w:val="20"/>
                <w:lang w:val="en-GB" w:eastAsia="da-DK"/>
              </w:rPr>
              <w:t>BWP-</w:t>
            </w:r>
            <w:proofErr w:type="spellStart"/>
            <w:r w:rsidRPr="005E127D">
              <w:rPr>
                <w:rFonts w:eastAsia="Times New Roman" w:cs="Times New Roman"/>
                <w:i/>
                <w:iCs/>
                <w:szCs w:val="20"/>
                <w:lang w:val="en-GB" w:eastAsia="da-DK"/>
              </w:rPr>
              <w:t>DownlinkDedicated</w:t>
            </w:r>
            <w:proofErr w:type="spellEnd"/>
            <w:r w:rsidRPr="005E127D">
              <w:rPr>
                <w:rFonts w:eastAsia="Times New Roman" w:cs="Times New Roman"/>
                <w:szCs w:val="20"/>
                <w:lang w:val="en-GB" w:eastAsia="da-DK"/>
              </w:rPr>
              <w:t> of active DL BWP. If the field is absent, the reference SSB is the SSB defined in </w:t>
            </w:r>
            <w:proofErr w:type="spellStart"/>
            <w:r w:rsidRPr="005E127D">
              <w:rPr>
                <w:rFonts w:eastAsia="Times New Roman" w:cs="Times New Roman"/>
                <w:i/>
                <w:iCs/>
                <w:szCs w:val="20"/>
                <w:lang w:val="en-GB" w:eastAsia="da-DK"/>
              </w:rPr>
              <w:t>servingCellMO</w:t>
            </w:r>
            <w:proofErr w:type="spellEnd"/>
            <w:r w:rsidRPr="005E127D">
              <w:rPr>
                <w:rFonts w:eastAsia="Times New Roman" w:cs="Times New Roman"/>
                <w:i/>
                <w:iCs/>
                <w:szCs w:val="20"/>
                <w:lang w:val="en-GB" w:eastAsia="da-DK"/>
              </w:rPr>
              <w:t xml:space="preserve"> </w:t>
            </w:r>
            <w:r w:rsidRPr="005E127D">
              <w:rPr>
                <w:rFonts w:eastAsia="Times New Roman" w:cs="Times New Roman"/>
                <w:szCs w:val="20"/>
                <w:lang w:val="en-GB" w:eastAsia="da-DK"/>
              </w:rPr>
              <w:t>under </w:t>
            </w:r>
            <w:proofErr w:type="spellStart"/>
            <w:r w:rsidRPr="005E127D">
              <w:rPr>
                <w:rFonts w:eastAsia="Times New Roman" w:cs="Times New Roman"/>
                <w:i/>
                <w:iCs/>
                <w:szCs w:val="20"/>
                <w:lang w:val="en-GB" w:eastAsia="da-DK"/>
              </w:rPr>
              <w:t>ServingCellConfig</w:t>
            </w:r>
            <w:proofErr w:type="spellEnd"/>
            <w:r w:rsidRPr="005E127D">
              <w:rPr>
                <w:rFonts w:eastAsia="Times New Roman" w:cs="Times New Roman"/>
                <w:szCs w:val="20"/>
                <w:lang w:val="en-GB" w:eastAsia="da-DK"/>
              </w:rPr>
              <w:t>.</w:t>
            </w:r>
          </w:p>
        </w:tc>
      </w:tr>
    </w:tbl>
    <w:p w14:paraId="07E8902C" w14:textId="3E7140D2" w:rsidR="00D54367" w:rsidRDefault="00D54367" w:rsidP="00C63BDC">
      <w:pPr>
        <w:rPr>
          <w:lang w:val="en-GB" w:eastAsia="zh-CN"/>
        </w:rPr>
      </w:pPr>
      <w:r>
        <w:rPr>
          <w:rFonts w:hint="eastAsia"/>
          <w:lang w:val="en-GB" w:eastAsia="zh-CN"/>
        </w:rPr>
        <w:lastRenderedPageBreak/>
        <w:t>T</w:t>
      </w:r>
      <w:r>
        <w:rPr>
          <w:lang w:val="en-GB" w:eastAsia="zh-CN"/>
        </w:rPr>
        <w:t>herefore, we propose two options for NCD-SSB tests</w:t>
      </w:r>
      <w:r w:rsidR="00254153">
        <w:rPr>
          <w:lang w:val="en-GB" w:eastAsia="zh-CN"/>
        </w:rPr>
        <w:t xml:space="preserve"> of intra-frequency measurements with gap</w:t>
      </w:r>
      <w:r>
        <w:rPr>
          <w:lang w:val="en-GB" w:eastAsia="zh-CN"/>
        </w:rPr>
        <w:t>:</w:t>
      </w:r>
    </w:p>
    <w:p w14:paraId="25A1D5C0" w14:textId="292FF94D" w:rsidR="00D54367" w:rsidRPr="00C32C1C" w:rsidRDefault="00D54367" w:rsidP="00C32C1C">
      <w:pPr>
        <w:pStyle w:val="a5"/>
        <w:numPr>
          <w:ilvl w:val="0"/>
          <w:numId w:val="41"/>
        </w:numPr>
        <w:rPr>
          <w:b/>
          <w:lang w:val="en-GB" w:eastAsia="zh-CN"/>
        </w:rPr>
      </w:pPr>
      <w:r w:rsidRPr="00C32C1C">
        <w:rPr>
          <w:b/>
          <w:lang w:eastAsia="zh-CN"/>
        </w:rPr>
        <w:t xml:space="preserve">Option 1: RAN4 </w:t>
      </w:r>
      <w:r w:rsidRPr="00C32C1C">
        <w:rPr>
          <w:rFonts w:hint="eastAsia"/>
          <w:b/>
          <w:lang w:eastAsia="zh-CN"/>
        </w:rPr>
        <w:t>not</w:t>
      </w:r>
      <w:r w:rsidRPr="00C32C1C">
        <w:rPr>
          <w:b/>
          <w:lang w:eastAsia="zh-CN"/>
        </w:rPr>
        <w:t xml:space="preserve"> to define the test cases</w:t>
      </w:r>
      <w:r w:rsidRPr="00C32C1C">
        <w:rPr>
          <w:rFonts w:hint="eastAsia"/>
          <w:b/>
          <w:lang w:eastAsia="zh-CN"/>
        </w:rPr>
        <w:t>#2</w:t>
      </w:r>
      <w:r w:rsidRPr="00C32C1C">
        <w:rPr>
          <w:b/>
          <w:lang w:eastAsia="zh-CN"/>
        </w:rPr>
        <w:t xml:space="preserve"> </w:t>
      </w:r>
      <w:r w:rsidRPr="00C32C1C">
        <w:rPr>
          <w:rFonts w:hint="eastAsia"/>
          <w:b/>
          <w:lang w:eastAsia="zh-CN"/>
        </w:rPr>
        <w:t>and#4</w:t>
      </w:r>
      <w:r w:rsidRPr="00C32C1C">
        <w:rPr>
          <w:b/>
          <w:lang w:eastAsia="zh-CN"/>
        </w:rPr>
        <w:t xml:space="preserve"> for intra-frequency measurements </w:t>
      </w:r>
      <w:r w:rsidRPr="00C32C1C">
        <w:rPr>
          <w:rFonts w:hint="eastAsia"/>
          <w:b/>
          <w:lang w:eastAsia="zh-CN"/>
        </w:rPr>
        <w:t>with</w:t>
      </w:r>
      <w:r w:rsidRPr="00C32C1C">
        <w:rPr>
          <w:b/>
          <w:lang w:eastAsia="zh-CN"/>
        </w:rPr>
        <w:t xml:space="preserve"> </w:t>
      </w:r>
      <w:r w:rsidRPr="00C32C1C">
        <w:rPr>
          <w:rFonts w:hint="eastAsia"/>
          <w:b/>
          <w:lang w:eastAsia="zh-CN"/>
        </w:rPr>
        <w:t>gap</w:t>
      </w:r>
      <w:r w:rsidRPr="00C32C1C">
        <w:rPr>
          <w:b/>
          <w:lang w:eastAsia="zh-CN"/>
        </w:rPr>
        <w:t xml:space="preserve"> </w:t>
      </w:r>
      <w:r w:rsidRPr="00C32C1C">
        <w:rPr>
          <w:rFonts w:hint="eastAsia"/>
          <w:b/>
          <w:lang w:eastAsia="zh-CN"/>
        </w:rPr>
        <w:t>for</w:t>
      </w:r>
      <w:r w:rsidRPr="00C32C1C">
        <w:rPr>
          <w:b/>
          <w:lang w:eastAsia="zh-CN"/>
        </w:rPr>
        <w:t xml:space="preserve"> </w:t>
      </w:r>
      <w:r w:rsidRPr="00C32C1C">
        <w:rPr>
          <w:rFonts w:hint="eastAsia"/>
          <w:b/>
          <w:lang w:eastAsia="zh-CN"/>
        </w:rPr>
        <w:t>NCD-SSB.</w:t>
      </w:r>
    </w:p>
    <w:p w14:paraId="3F613BB8" w14:textId="47708FE7" w:rsidR="00D54367" w:rsidRPr="00C32C1C" w:rsidRDefault="00D54367" w:rsidP="00C32C1C">
      <w:pPr>
        <w:pStyle w:val="a5"/>
        <w:numPr>
          <w:ilvl w:val="0"/>
          <w:numId w:val="41"/>
        </w:numPr>
        <w:rPr>
          <w:b/>
          <w:lang w:val="en-GB" w:eastAsia="zh-CN"/>
        </w:rPr>
      </w:pPr>
      <w:r w:rsidRPr="00C32C1C">
        <w:rPr>
          <w:rFonts w:hint="eastAsia"/>
          <w:b/>
          <w:lang w:val="en-GB" w:eastAsia="zh-CN"/>
        </w:rPr>
        <w:t>O</w:t>
      </w:r>
      <w:r w:rsidRPr="00C32C1C">
        <w:rPr>
          <w:b/>
          <w:lang w:val="en-GB" w:eastAsia="zh-CN"/>
        </w:rPr>
        <w:t>ption 2:</w:t>
      </w:r>
      <w:r w:rsidRPr="00C32C1C">
        <w:rPr>
          <w:b/>
          <w:lang w:eastAsia="zh-CN"/>
        </w:rPr>
        <w:t xml:space="preserve"> </w:t>
      </w:r>
      <w:r w:rsidR="00254153" w:rsidRPr="00254153">
        <w:rPr>
          <w:b/>
          <w:lang w:eastAsia="zh-CN"/>
        </w:rPr>
        <w:t>RAN4 define</w:t>
      </w:r>
      <w:r w:rsidR="00254153">
        <w:rPr>
          <w:b/>
          <w:lang w:eastAsia="zh-CN"/>
        </w:rPr>
        <w:t>s</w:t>
      </w:r>
      <w:r w:rsidR="00254153" w:rsidRPr="00254153">
        <w:rPr>
          <w:b/>
          <w:lang w:eastAsia="zh-CN"/>
        </w:rPr>
        <w:t xml:space="preserve"> </w:t>
      </w:r>
      <w:r w:rsidRPr="00C32C1C">
        <w:rPr>
          <w:b/>
          <w:lang w:eastAsia="zh-CN"/>
        </w:rPr>
        <w:t>test case#2 and #4 with both CD-SSB and NCD-SSB configuration</w:t>
      </w:r>
    </w:p>
    <w:p w14:paraId="6726F981" w14:textId="24925137" w:rsidR="00C32C1C" w:rsidRDefault="00C32C1C" w:rsidP="00C32C1C">
      <w:pPr>
        <w:jc w:val="both"/>
        <w:rPr>
          <w:lang w:val="en-GB" w:eastAsia="zh-CN"/>
        </w:rPr>
      </w:pPr>
      <w:r>
        <w:rPr>
          <w:rFonts w:hint="eastAsia"/>
          <w:lang w:val="en-GB" w:eastAsia="zh-CN"/>
        </w:rPr>
        <w:t>F</w:t>
      </w:r>
      <w:r>
        <w:rPr>
          <w:lang w:val="en-GB" w:eastAsia="zh-CN"/>
        </w:rPr>
        <w:t>or option 1, RAN4 modified the previous agreements and not to define any tests for intra-frequency measurement with gap for NCD-SSB configuration.</w:t>
      </w:r>
    </w:p>
    <w:p w14:paraId="19070C63" w14:textId="235EDCDC" w:rsidR="00C32C1C" w:rsidRDefault="00C32C1C" w:rsidP="00C32C1C">
      <w:pPr>
        <w:jc w:val="both"/>
        <w:rPr>
          <w:lang w:eastAsia="zh-CN"/>
        </w:rPr>
      </w:pPr>
      <w:r>
        <w:rPr>
          <w:lang w:val="en-GB" w:eastAsia="zh-CN"/>
        </w:rPr>
        <w:t xml:space="preserve">For option 2, RAN4 still kept the tests </w:t>
      </w:r>
      <w:r w:rsidRPr="00C32C1C">
        <w:rPr>
          <w:lang w:val="en-GB" w:eastAsia="zh-CN"/>
        </w:rPr>
        <w:t>e#2 and #4</w:t>
      </w:r>
      <w:r>
        <w:rPr>
          <w:lang w:val="en-GB" w:eastAsia="zh-CN"/>
        </w:rPr>
        <w:t xml:space="preserve"> but </w:t>
      </w:r>
      <w:r w:rsidR="00254153" w:rsidRPr="00254153">
        <w:rPr>
          <w:lang w:val="en-GB" w:eastAsia="zh-CN"/>
        </w:rPr>
        <w:t>both CD-SSB and NCD-SSB configuration</w:t>
      </w:r>
      <w:r w:rsidR="00254153">
        <w:rPr>
          <w:lang w:val="en-GB" w:eastAsia="zh-CN"/>
        </w:rPr>
        <w:t xml:space="preserve"> are required. </w:t>
      </w:r>
      <w:r>
        <w:rPr>
          <w:rFonts w:hint="eastAsia"/>
          <w:lang w:val="en-GB" w:eastAsia="zh-CN"/>
        </w:rPr>
        <w:t>In</w:t>
      </w:r>
      <w:r>
        <w:rPr>
          <w:lang w:val="en-GB" w:eastAsia="zh-CN"/>
        </w:rPr>
        <w:t xml:space="preserve"> </w:t>
      </w:r>
      <w:r>
        <w:rPr>
          <w:rFonts w:hint="eastAsia"/>
          <w:lang w:val="en-GB" w:eastAsia="zh-CN"/>
        </w:rPr>
        <w:t>the</w:t>
      </w:r>
      <w:r>
        <w:rPr>
          <w:lang w:val="en-GB" w:eastAsia="zh-CN"/>
        </w:rPr>
        <w:t xml:space="preserve"> tests, in case of requiring gap, the reference SSB should be outside of </w:t>
      </w:r>
      <w:r>
        <w:rPr>
          <w:rFonts w:hint="eastAsia"/>
          <w:lang w:val="en-GB" w:eastAsia="zh-CN"/>
        </w:rPr>
        <w:t>active</w:t>
      </w:r>
      <w:r>
        <w:rPr>
          <w:lang w:val="en-GB" w:eastAsia="zh-CN"/>
        </w:rPr>
        <w:t xml:space="preserve"> </w:t>
      </w:r>
      <w:r>
        <w:rPr>
          <w:rFonts w:hint="eastAsia"/>
          <w:lang w:val="en-GB" w:eastAsia="zh-CN"/>
        </w:rPr>
        <w:t>BWP</w:t>
      </w:r>
      <w:r>
        <w:rPr>
          <w:lang w:val="en-GB" w:eastAsia="zh-CN"/>
        </w:rPr>
        <w:t>.</w:t>
      </w:r>
      <w:r w:rsidRPr="00C32C1C">
        <w:rPr>
          <w:lang w:val="en-GB" w:eastAsia="zh-CN"/>
        </w:rPr>
        <w:t xml:space="preserve"> </w:t>
      </w:r>
      <w:r>
        <w:rPr>
          <w:lang w:val="en-GB" w:eastAsia="zh-CN"/>
        </w:rPr>
        <w:t xml:space="preserve">According to the definition of SSB based intra-frequency measurement, </w:t>
      </w:r>
      <w:r>
        <w:rPr>
          <w:rFonts w:eastAsia="Times New Roman" w:cs="Times New Roman"/>
          <w:szCs w:val="20"/>
          <w:lang w:eastAsia="da-DK"/>
        </w:rPr>
        <w:t>t</w:t>
      </w:r>
      <w:r w:rsidRPr="000019A3">
        <w:rPr>
          <w:rFonts w:eastAsia="Times New Roman" w:cs="Times New Roman"/>
          <w:szCs w:val="20"/>
          <w:lang w:val="en-GB" w:eastAsia="da-DK"/>
        </w:rPr>
        <w:t xml:space="preserve">he centre frequency of the reference SSB of the serving cell and the centre frequency of the </w:t>
      </w:r>
      <w:r>
        <w:rPr>
          <w:rFonts w:eastAsia="Times New Roman" w:cs="Times New Roman"/>
          <w:szCs w:val="20"/>
          <w:lang w:val="en-GB" w:eastAsia="da-DK"/>
        </w:rPr>
        <w:t xml:space="preserve">target </w:t>
      </w:r>
      <w:r w:rsidRPr="000019A3">
        <w:rPr>
          <w:rFonts w:eastAsia="Times New Roman" w:cs="Times New Roman"/>
          <w:szCs w:val="20"/>
          <w:lang w:val="en-GB" w:eastAsia="da-DK"/>
        </w:rPr>
        <w:t>SSB of the neighbour cell are the same</w:t>
      </w:r>
      <w:r>
        <w:rPr>
          <w:rFonts w:eastAsia="Times New Roman" w:cs="Times New Roman"/>
          <w:szCs w:val="20"/>
          <w:lang w:val="en-GB" w:eastAsia="da-DK"/>
        </w:rPr>
        <w:t xml:space="preserve">. </w:t>
      </w:r>
      <w:r w:rsidR="00254153">
        <w:rPr>
          <w:rFonts w:eastAsia="Times New Roman" w:cs="Times New Roman"/>
          <w:szCs w:val="20"/>
          <w:lang w:val="en-GB" w:eastAsia="da-DK"/>
        </w:rPr>
        <w:t>W</w:t>
      </w:r>
      <w:r>
        <w:rPr>
          <w:lang w:val="en-GB" w:eastAsia="zh-CN"/>
        </w:rPr>
        <w:t xml:space="preserve">e set the tests with </w:t>
      </w:r>
      <w:r w:rsidRPr="00377894">
        <w:rPr>
          <w:lang w:eastAsia="zh-CN"/>
        </w:rPr>
        <w:t xml:space="preserve">two BWPs configured in </w:t>
      </w:r>
      <w:r>
        <w:rPr>
          <w:lang w:eastAsia="zh-CN"/>
        </w:rPr>
        <w:t xml:space="preserve">serving </w:t>
      </w:r>
      <w:r w:rsidRPr="00377894">
        <w:rPr>
          <w:lang w:eastAsia="zh-CN"/>
        </w:rPr>
        <w:t xml:space="preserve">Cell 1. BWP1 contains the cell defining SSB which is defined in </w:t>
      </w:r>
      <w:proofErr w:type="spellStart"/>
      <w:r w:rsidRPr="00377894">
        <w:rPr>
          <w:lang w:eastAsia="zh-CN"/>
        </w:rPr>
        <w:t>servingCellMO</w:t>
      </w:r>
      <w:proofErr w:type="spellEnd"/>
      <w:r w:rsidRPr="00377894">
        <w:rPr>
          <w:lang w:eastAsia="zh-CN"/>
        </w:rPr>
        <w:t xml:space="preserve"> under </w:t>
      </w:r>
      <w:proofErr w:type="spellStart"/>
      <w:r w:rsidRPr="00377894">
        <w:rPr>
          <w:lang w:eastAsia="zh-CN"/>
        </w:rPr>
        <w:t>ServingCellConfig</w:t>
      </w:r>
      <w:proofErr w:type="spellEnd"/>
      <w:r w:rsidRPr="00377894">
        <w:rPr>
          <w:lang w:eastAsia="zh-CN"/>
        </w:rPr>
        <w:t xml:space="preserve"> and BWP2 contains NCD-SSB, while BWP-specific </w:t>
      </w:r>
      <w:proofErr w:type="spellStart"/>
      <w:r w:rsidRPr="00377894">
        <w:rPr>
          <w:lang w:eastAsia="zh-CN"/>
        </w:rPr>
        <w:t>servingCellMO</w:t>
      </w:r>
      <w:proofErr w:type="spellEnd"/>
      <w:r w:rsidRPr="00377894">
        <w:rPr>
          <w:lang w:eastAsia="zh-CN"/>
        </w:rPr>
        <w:t xml:space="preserve"> under BWP-</w:t>
      </w:r>
      <w:proofErr w:type="spellStart"/>
      <w:r w:rsidRPr="00377894">
        <w:rPr>
          <w:lang w:eastAsia="zh-CN"/>
        </w:rPr>
        <w:t>DownlinkDedicated</w:t>
      </w:r>
      <w:proofErr w:type="spellEnd"/>
      <w:r w:rsidRPr="00377894">
        <w:rPr>
          <w:lang w:eastAsia="zh-CN"/>
        </w:rPr>
        <w:t xml:space="preserve"> of BWP2 is absent.</w:t>
      </w:r>
      <w:r>
        <w:rPr>
          <w:lang w:eastAsia="zh-CN"/>
        </w:rPr>
        <w:t xml:space="preserve"> </w:t>
      </w:r>
      <w:r w:rsidRPr="00377894">
        <w:rPr>
          <w:lang w:eastAsia="zh-CN"/>
        </w:rPr>
        <w:t>During the whole test, BWP2 is always scheduled as the active BWP for the UE.</w:t>
      </w:r>
      <w:r>
        <w:rPr>
          <w:lang w:eastAsia="zh-CN"/>
        </w:rPr>
        <w:t xml:space="preserve"> The target SSB has the same center frequency as CD-SSB and is outside of active BWP2.</w:t>
      </w:r>
    </w:p>
    <w:p w14:paraId="37BBB77F" w14:textId="32DD81B2" w:rsidR="00804E64" w:rsidRDefault="00254153" w:rsidP="00C32C1C">
      <w:pPr>
        <w:jc w:val="both"/>
        <w:rPr>
          <w:rFonts w:eastAsia="Times New Roman" w:cs="Times New Roman"/>
          <w:szCs w:val="20"/>
          <w:lang w:val="en-GB" w:eastAsia="da-DK"/>
        </w:rPr>
      </w:pPr>
      <w:r>
        <w:rPr>
          <w:rFonts w:eastAsia="Times New Roman" w:cs="Times New Roman"/>
          <w:szCs w:val="20"/>
          <w:lang w:val="en-GB" w:eastAsia="da-DK"/>
        </w:rPr>
        <w:t xml:space="preserve">To be highlighted, since </w:t>
      </w:r>
      <w:r>
        <w:rPr>
          <w:lang w:val="en-GB" w:eastAsia="zh-CN"/>
        </w:rPr>
        <w:t>it</w:t>
      </w:r>
      <w:r w:rsidR="00804E64">
        <w:rPr>
          <w:lang w:val="en-GB" w:eastAsia="zh-CN"/>
        </w:rPr>
        <w:t xml:space="preserve"> cannot be NCD-SSB</w:t>
      </w:r>
      <w:r w:rsidR="00377894">
        <w:rPr>
          <w:lang w:val="en-GB" w:eastAsia="zh-CN"/>
        </w:rPr>
        <w:t xml:space="preserve"> as it </w:t>
      </w:r>
      <w:r w:rsidR="00377894">
        <w:rPr>
          <w:rFonts w:eastAsia="Times New Roman" w:cs="Times New Roman"/>
          <w:szCs w:val="20"/>
          <w:lang w:val="en-GB" w:eastAsia="da-DK"/>
        </w:rPr>
        <w:t xml:space="preserve">limits </w:t>
      </w:r>
      <w:r w:rsidR="00377894" w:rsidRPr="000019A3">
        <w:rPr>
          <w:rFonts w:eastAsia="Times New Roman" w:cs="Times New Roman"/>
          <w:szCs w:val="20"/>
          <w:lang w:val="en-GB" w:eastAsia="da-DK"/>
        </w:rPr>
        <w:t>the SSB defined in BWP-specific </w:t>
      </w:r>
      <w:proofErr w:type="spellStart"/>
      <w:r w:rsidR="00377894" w:rsidRPr="000019A3">
        <w:rPr>
          <w:rFonts w:eastAsia="Times New Roman" w:cs="Times New Roman"/>
          <w:i/>
          <w:iCs/>
          <w:szCs w:val="20"/>
          <w:lang w:val="en-GB" w:eastAsia="da-DK"/>
        </w:rPr>
        <w:t>servingCellMO</w:t>
      </w:r>
      <w:proofErr w:type="spellEnd"/>
      <w:r w:rsidR="00377894" w:rsidRPr="000019A3">
        <w:rPr>
          <w:rFonts w:eastAsia="Times New Roman" w:cs="Times New Roman"/>
          <w:szCs w:val="20"/>
          <w:lang w:val="en-GB" w:eastAsia="da-DK"/>
        </w:rPr>
        <w:t xml:space="preserve"> of active DL BWP</w:t>
      </w:r>
      <w:r>
        <w:rPr>
          <w:rFonts w:eastAsia="Times New Roman" w:cs="Times New Roman"/>
          <w:szCs w:val="20"/>
          <w:lang w:val="en-GB" w:eastAsia="da-DK"/>
        </w:rPr>
        <w:t>, t</w:t>
      </w:r>
      <w:r w:rsidR="00377894">
        <w:rPr>
          <w:rFonts w:eastAsia="Times New Roman" w:cs="Times New Roman"/>
          <w:szCs w:val="20"/>
          <w:lang w:val="en-GB" w:eastAsia="da-DK"/>
        </w:rPr>
        <w:t xml:space="preserve">he reference SSB </w:t>
      </w:r>
      <w:r>
        <w:rPr>
          <w:rFonts w:eastAsia="Times New Roman" w:cs="Times New Roman"/>
          <w:szCs w:val="20"/>
          <w:lang w:val="en-GB" w:eastAsia="da-DK"/>
        </w:rPr>
        <w:t>can be</w:t>
      </w:r>
      <w:r w:rsidR="00377894">
        <w:rPr>
          <w:rFonts w:eastAsia="Times New Roman" w:cs="Times New Roman"/>
          <w:szCs w:val="20"/>
          <w:lang w:val="en-GB" w:eastAsia="da-DK"/>
        </w:rPr>
        <w:t xml:space="preserve"> </w:t>
      </w:r>
      <w:r w:rsidR="00C32C1C">
        <w:rPr>
          <w:rFonts w:eastAsia="Times New Roman" w:cs="Times New Roman"/>
          <w:szCs w:val="20"/>
          <w:lang w:val="en-GB" w:eastAsia="da-DK"/>
        </w:rPr>
        <w:t xml:space="preserve">set as </w:t>
      </w:r>
      <w:r w:rsidR="00377894">
        <w:rPr>
          <w:rFonts w:eastAsia="Times New Roman" w:cs="Times New Roman"/>
          <w:szCs w:val="20"/>
          <w:lang w:val="en-GB" w:eastAsia="da-DK"/>
        </w:rPr>
        <w:t>CD-SSB</w:t>
      </w:r>
      <w:r w:rsidR="00377894" w:rsidRPr="000019A3">
        <w:rPr>
          <w:rFonts w:eastAsia="Times New Roman" w:cs="Times New Roman"/>
          <w:szCs w:val="20"/>
          <w:lang w:val="en-GB" w:eastAsia="da-DK"/>
        </w:rPr>
        <w:t xml:space="preserve"> defined in </w:t>
      </w:r>
      <w:proofErr w:type="spellStart"/>
      <w:r w:rsidR="00377894" w:rsidRPr="000019A3">
        <w:rPr>
          <w:rFonts w:eastAsia="Times New Roman" w:cs="Times New Roman"/>
          <w:i/>
          <w:iCs/>
          <w:szCs w:val="20"/>
          <w:lang w:val="en-GB" w:eastAsia="da-DK"/>
        </w:rPr>
        <w:t>servingCellMO</w:t>
      </w:r>
      <w:proofErr w:type="spellEnd"/>
      <w:r w:rsidR="00377894" w:rsidRPr="000019A3">
        <w:rPr>
          <w:rFonts w:eastAsia="Times New Roman" w:cs="Times New Roman"/>
          <w:i/>
          <w:iCs/>
          <w:szCs w:val="20"/>
          <w:lang w:val="en-GB" w:eastAsia="da-DK"/>
        </w:rPr>
        <w:t xml:space="preserve"> </w:t>
      </w:r>
      <w:r w:rsidR="00377894" w:rsidRPr="000019A3">
        <w:rPr>
          <w:rFonts w:eastAsia="Times New Roman" w:cs="Times New Roman"/>
          <w:szCs w:val="20"/>
          <w:lang w:val="en-GB" w:eastAsia="da-DK"/>
        </w:rPr>
        <w:t>under </w:t>
      </w:r>
      <w:proofErr w:type="spellStart"/>
      <w:r w:rsidR="00377894" w:rsidRPr="000019A3">
        <w:rPr>
          <w:rFonts w:eastAsia="Times New Roman" w:cs="Times New Roman"/>
          <w:i/>
          <w:iCs/>
          <w:szCs w:val="20"/>
          <w:lang w:val="en-GB" w:eastAsia="da-DK"/>
        </w:rPr>
        <w:t>ServingCellConfig</w:t>
      </w:r>
      <w:proofErr w:type="spellEnd"/>
      <w:r w:rsidR="00377894">
        <w:rPr>
          <w:rFonts w:eastAsia="Times New Roman" w:cs="Times New Roman"/>
          <w:szCs w:val="20"/>
          <w:lang w:val="en-GB" w:eastAsia="da-DK"/>
        </w:rPr>
        <w:t xml:space="preserve"> when active </w:t>
      </w:r>
      <w:r w:rsidR="00377894" w:rsidRPr="000019A3">
        <w:rPr>
          <w:rFonts w:eastAsia="Times New Roman" w:cs="Times New Roman"/>
          <w:szCs w:val="20"/>
          <w:lang w:val="en-GB" w:eastAsia="da-DK"/>
        </w:rPr>
        <w:t>BWP</w:t>
      </w:r>
      <w:r w:rsidR="00377894">
        <w:rPr>
          <w:rFonts w:eastAsia="Times New Roman" w:cs="Times New Roman"/>
          <w:szCs w:val="20"/>
          <w:lang w:val="en-GB" w:eastAsia="da-DK"/>
        </w:rPr>
        <w:t>’s</w:t>
      </w:r>
      <w:r w:rsidR="00377894" w:rsidRPr="000019A3">
        <w:rPr>
          <w:rFonts w:eastAsia="Times New Roman" w:cs="Times New Roman"/>
          <w:szCs w:val="20"/>
          <w:lang w:val="en-GB" w:eastAsia="da-DK"/>
        </w:rPr>
        <w:t> </w:t>
      </w:r>
      <w:proofErr w:type="spellStart"/>
      <w:r w:rsidR="00377894" w:rsidRPr="000019A3">
        <w:rPr>
          <w:rFonts w:eastAsia="Times New Roman" w:cs="Times New Roman"/>
          <w:i/>
          <w:iCs/>
          <w:szCs w:val="20"/>
          <w:lang w:val="en-GB" w:eastAsia="da-DK"/>
        </w:rPr>
        <w:t>servingCellMO</w:t>
      </w:r>
      <w:proofErr w:type="spellEnd"/>
      <w:r w:rsidR="00377894" w:rsidRPr="000019A3">
        <w:rPr>
          <w:rFonts w:eastAsia="Times New Roman" w:cs="Times New Roman"/>
          <w:szCs w:val="20"/>
          <w:lang w:val="en-GB" w:eastAsia="da-DK"/>
        </w:rPr>
        <w:t> </w:t>
      </w:r>
      <w:r w:rsidR="00377894">
        <w:rPr>
          <w:rFonts w:eastAsia="Times New Roman" w:cs="Times New Roman"/>
          <w:szCs w:val="20"/>
          <w:lang w:val="en-GB" w:eastAsia="da-DK"/>
        </w:rPr>
        <w:t>is absent.</w:t>
      </w:r>
    </w:p>
    <w:p w14:paraId="76C547DA" w14:textId="6FD42FBA" w:rsidR="00254153" w:rsidRPr="00254153" w:rsidRDefault="00254153" w:rsidP="00C32C1C">
      <w:pPr>
        <w:jc w:val="both"/>
        <w:rPr>
          <w:rFonts w:cs="Times New Roman"/>
          <w:szCs w:val="20"/>
          <w:lang w:val="en-GB" w:eastAsia="zh-CN"/>
        </w:rPr>
      </w:pPr>
      <w:r>
        <w:rPr>
          <w:rFonts w:cs="Times New Roman" w:hint="eastAsia"/>
          <w:szCs w:val="20"/>
          <w:lang w:val="en-GB" w:eastAsia="zh-CN"/>
        </w:rPr>
        <w:t>T</w:t>
      </w:r>
      <w:r>
        <w:rPr>
          <w:rFonts w:cs="Times New Roman"/>
          <w:szCs w:val="20"/>
          <w:lang w:val="en-GB" w:eastAsia="zh-CN"/>
        </w:rPr>
        <w:t>he corresponding CR can be found in [3]</w:t>
      </w:r>
      <w:r>
        <w:rPr>
          <w:rFonts w:cs="Times New Roman" w:hint="eastAsia"/>
          <w:szCs w:val="20"/>
          <w:lang w:val="en-GB" w:eastAsia="zh-CN"/>
        </w:rPr>
        <w:t>.</w:t>
      </w:r>
    </w:p>
    <w:p w14:paraId="213A5469" w14:textId="58D0AD68" w:rsidR="00431F57" w:rsidRDefault="00431F57" w:rsidP="00431F57">
      <w:pPr>
        <w:pStyle w:val="RAN4proposal"/>
        <w:numPr>
          <w:ilvl w:val="0"/>
          <w:numId w:val="0"/>
        </w:numPr>
        <w:rPr>
          <w:lang w:eastAsia="zh-CN"/>
        </w:rPr>
      </w:pPr>
      <w:r>
        <w:rPr>
          <w:rFonts w:hint="eastAsia"/>
          <w:lang w:eastAsia="zh-CN"/>
        </w:rPr>
        <w:t>P</w:t>
      </w:r>
      <w:r>
        <w:rPr>
          <w:lang w:eastAsia="zh-CN"/>
        </w:rPr>
        <w:t xml:space="preserve">roposal 1: </w:t>
      </w:r>
      <w:r w:rsidR="00254153">
        <w:rPr>
          <w:lang w:val="en-GB" w:eastAsia="zh-CN"/>
        </w:rPr>
        <w:t>Propose two options for NCD-SSB tests of intra-frequency measurements with gap:</w:t>
      </w:r>
    </w:p>
    <w:p w14:paraId="55C50886" w14:textId="6C76E2D3" w:rsidR="00431F57" w:rsidRPr="00254153" w:rsidRDefault="00431F57" w:rsidP="00431F57">
      <w:pPr>
        <w:pStyle w:val="RAN4proposal"/>
        <w:numPr>
          <w:ilvl w:val="0"/>
          <w:numId w:val="38"/>
        </w:numPr>
        <w:rPr>
          <w:lang w:eastAsia="zh-CN"/>
        </w:rPr>
      </w:pPr>
      <w:r w:rsidRPr="00254153">
        <w:rPr>
          <w:rFonts w:hint="eastAsia"/>
          <w:lang w:eastAsia="zh-CN"/>
        </w:rPr>
        <w:t>O</w:t>
      </w:r>
      <w:r w:rsidRPr="00254153">
        <w:rPr>
          <w:lang w:eastAsia="zh-CN"/>
        </w:rPr>
        <w:t xml:space="preserve">ption 1: </w:t>
      </w:r>
      <w:r w:rsidR="00C32C1C" w:rsidRPr="00254153">
        <w:rPr>
          <w:lang w:eastAsia="zh-CN"/>
        </w:rPr>
        <w:t xml:space="preserve">RAN4 </w:t>
      </w:r>
      <w:r w:rsidR="00C32C1C" w:rsidRPr="00254153">
        <w:rPr>
          <w:rFonts w:hint="eastAsia"/>
          <w:lang w:eastAsia="zh-CN"/>
        </w:rPr>
        <w:t>not</w:t>
      </w:r>
      <w:r w:rsidR="00C32C1C" w:rsidRPr="00254153">
        <w:rPr>
          <w:lang w:eastAsia="zh-CN"/>
        </w:rPr>
        <w:t xml:space="preserve"> to define the test cases</w:t>
      </w:r>
      <w:r w:rsidR="00254153">
        <w:rPr>
          <w:lang w:eastAsia="zh-CN"/>
        </w:rPr>
        <w:t xml:space="preserve"> </w:t>
      </w:r>
      <w:r w:rsidR="00C32C1C" w:rsidRPr="00254153">
        <w:rPr>
          <w:rFonts w:hint="eastAsia"/>
          <w:lang w:eastAsia="zh-CN"/>
        </w:rPr>
        <w:t>#2</w:t>
      </w:r>
      <w:r w:rsidR="00C32C1C" w:rsidRPr="00254153">
        <w:rPr>
          <w:lang w:eastAsia="zh-CN"/>
        </w:rPr>
        <w:t xml:space="preserve"> </w:t>
      </w:r>
      <w:r w:rsidR="00C32C1C" w:rsidRPr="00254153">
        <w:rPr>
          <w:rFonts w:hint="eastAsia"/>
          <w:lang w:eastAsia="zh-CN"/>
        </w:rPr>
        <w:t>and</w:t>
      </w:r>
      <w:r w:rsidR="00254153">
        <w:rPr>
          <w:lang w:eastAsia="zh-CN"/>
        </w:rPr>
        <w:t xml:space="preserve"> </w:t>
      </w:r>
      <w:r w:rsidR="00C32C1C" w:rsidRPr="00254153">
        <w:rPr>
          <w:rFonts w:hint="eastAsia"/>
          <w:lang w:eastAsia="zh-CN"/>
        </w:rPr>
        <w:t>#4</w:t>
      </w:r>
      <w:r w:rsidR="00C32C1C" w:rsidRPr="00254153">
        <w:rPr>
          <w:lang w:eastAsia="zh-CN"/>
        </w:rPr>
        <w:t xml:space="preserve"> for intra-frequency measurements </w:t>
      </w:r>
      <w:r w:rsidR="00C32C1C" w:rsidRPr="00254153">
        <w:rPr>
          <w:rFonts w:hint="eastAsia"/>
          <w:lang w:eastAsia="zh-CN"/>
        </w:rPr>
        <w:t>with</w:t>
      </w:r>
      <w:r w:rsidR="00C32C1C" w:rsidRPr="00254153">
        <w:rPr>
          <w:lang w:eastAsia="zh-CN"/>
        </w:rPr>
        <w:t xml:space="preserve"> </w:t>
      </w:r>
      <w:r w:rsidR="00C32C1C" w:rsidRPr="00254153">
        <w:rPr>
          <w:rFonts w:hint="eastAsia"/>
          <w:lang w:eastAsia="zh-CN"/>
        </w:rPr>
        <w:t>gap</w:t>
      </w:r>
      <w:r w:rsidR="00C32C1C" w:rsidRPr="00254153">
        <w:rPr>
          <w:lang w:eastAsia="zh-CN"/>
        </w:rPr>
        <w:t xml:space="preserve"> </w:t>
      </w:r>
      <w:r w:rsidR="00C32C1C" w:rsidRPr="00254153">
        <w:rPr>
          <w:rFonts w:hint="eastAsia"/>
          <w:lang w:eastAsia="zh-CN"/>
        </w:rPr>
        <w:t>for</w:t>
      </w:r>
      <w:r w:rsidR="00C32C1C" w:rsidRPr="00254153">
        <w:rPr>
          <w:lang w:eastAsia="zh-CN"/>
        </w:rPr>
        <w:t xml:space="preserve"> </w:t>
      </w:r>
      <w:r w:rsidR="00C32C1C" w:rsidRPr="00254153">
        <w:rPr>
          <w:rFonts w:hint="eastAsia"/>
          <w:lang w:eastAsia="zh-CN"/>
        </w:rPr>
        <w:t>NCD-SSB</w:t>
      </w:r>
    </w:p>
    <w:p w14:paraId="4BA281BA" w14:textId="78A8BD6C" w:rsidR="00431F57" w:rsidRPr="00254153" w:rsidRDefault="00431F57" w:rsidP="00C63BDC">
      <w:pPr>
        <w:pStyle w:val="RAN4proposal"/>
        <w:numPr>
          <w:ilvl w:val="0"/>
          <w:numId w:val="38"/>
        </w:numPr>
        <w:rPr>
          <w:lang w:eastAsia="zh-CN"/>
        </w:rPr>
      </w:pPr>
      <w:r w:rsidRPr="00254153">
        <w:rPr>
          <w:lang w:eastAsia="zh-CN"/>
        </w:rPr>
        <w:t>O</w:t>
      </w:r>
      <w:r w:rsidRPr="00254153">
        <w:rPr>
          <w:rFonts w:hint="eastAsia"/>
          <w:lang w:eastAsia="zh-CN"/>
        </w:rPr>
        <w:t>ption</w:t>
      </w:r>
      <w:r w:rsidRPr="00254153">
        <w:rPr>
          <w:lang w:eastAsia="zh-CN"/>
        </w:rPr>
        <w:t xml:space="preserve"> </w:t>
      </w:r>
      <w:r w:rsidRPr="00254153">
        <w:rPr>
          <w:rFonts w:hint="eastAsia"/>
          <w:lang w:eastAsia="zh-CN"/>
        </w:rPr>
        <w:t>2</w:t>
      </w:r>
      <w:r w:rsidRPr="00254153">
        <w:rPr>
          <w:rFonts w:hint="eastAsia"/>
          <w:lang w:eastAsia="zh-CN"/>
        </w:rPr>
        <w:t>：</w:t>
      </w:r>
      <w:r w:rsidRPr="00254153">
        <w:rPr>
          <w:lang w:eastAsia="zh-CN"/>
        </w:rPr>
        <w:t>RAN4 define</w:t>
      </w:r>
      <w:r w:rsidR="00254153">
        <w:rPr>
          <w:lang w:eastAsia="zh-CN"/>
        </w:rPr>
        <w:t>s</w:t>
      </w:r>
      <w:r w:rsidRPr="00254153">
        <w:rPr>
          <w:lang w:eastAsia="zh-CN"/>
        </w:rPr>
        <w:t xml:space="preserve"> the test cases</w:t>
      </w:r>
      <w:r w:rsidR="00254153">
        <w:rPr>
          <w:lang w:eastAsia="zh-CN"/>
        </w:rPr>
        <w:t xml:space="preserve"> </w:t>
      </w:r>
      <w:r w:rsidRPr="00254153">
        <w:rPr>
          <w:rFonts w:hint="eastAsia"/>
          <w:lang w:eastAsia="zh-CN"/>
        </w:rPr>
        <w:t>#2</w:t>
      </w:r>
      <w:r w:rsidRPr="00254153">
        <w:rPr>
          <w:lang w:eastAsia="zh-CN"/>
        </w:rPr>
        <w:t xml:space="preserve"> </w:t>
      </w:r>
      <w:r w:rsidRPr="00254153">
        <w:rPr>
          <w:rFonts w:hint="eastAsia"/>
          <w:lang w:eastAsia="zh-CN"/>
        </w:rPr>
        <w:t>and</w:t>
      </w:r>
      <w:r w:rsidR="00254153">
        <w:rPr>
          <w:lang w:eastAsia="zh-CN"/>
        </w:rPr>
        <w:t xml:space="preserve"> </w:t>
      </w:r>
      <w:r w:rsidRPr="00254153">
        <w:rPr>
          <w:rFonts w:hint="eastAsia"/>
          <w:lang w:eastAsia="zh-CN"/>
        </w:rPr>
        <w:t>#4</w:t>
      </w:r>
      <w:r w:rsidRPr="00254153">
        <w:rPr>
          <w:lang w:eastAsia="zh-CN"/>
        </w:rPr>
        <w:t xml:space="preserve"> for intra-frequency measurements </w:t>
      </w:r>
      <w:r w:rsidRPr="00254153">
        <w:rPr>
          <w:rFonts w:hint="eastAsia"/>
          <w:lang w:eastAsia="zh-CN"/>
        </w:rPr>
        <w:t>with</w:t>
      </w:r>
      <w:r w:rsidRPr="00254153">
        <w:rPr>
          <w:lang w:eastAsia="zh-CN"/>
        </w:rPr>
        <w:t xml:space="preserve"> </w:t>
      </w:r>
      <w:r w:rsidRPr="00254153">
        <w:rPr>
          <w:rFonts w:hint="eastAsia"/>
          <w:lang w:eastAsia="zh-CN"/>
        </w:rPr>
        <w:t>gap</w:t>
      </w:r>
      <w:r w:rsidRPr="00254153">
        <w:rPr>
          <w:lang w:eastAsia="zh-CN"/>
        </w:rPr>
        <w:t xml:space="preserve"> </w:t>
      </w:r>
      <w:r w:rsidR="00254153" w:rsidRPr="00C32C1C">
        <w:rPr>
          <w:lang w:eastAsia="zh-CN"/>
        </w:rPr>
        <w:t>with both CD-SSB and NCD-SSB configuration</w:t>
      </w:r>
      <w:r w:rsidRPr="00254153">
        <w:rPr>
          <w:rFonts w:hint="eastAsia"/>
          <w:lang w:eastAsia="zh-CN"/>
        </w:rPr>
        <w:t>.</w:t>
      </w:r>
    </w:p>
    <w:p w14:paraId="532740C3" w14:textId="3BB11472" w:rsidR="004E505B" w:rsidRDefault="004E505B" w:rsidP="004E505B">
      <w:pPr>
        <w:jc w:val="both"/>
        <w:rPr>
          <w:b/>
          <w:lang w:eastAsia="zh-CN"/>
        </w:rPr>
      </w:pPr>
      <w:r w:rsidRPr="004E505B">
        <w:rPr>
          <w:rFonts w:eastAsia="Times New Roman" w:cs="Times New Roman"/>
          <w:b/>
          <w:color w:val="000000"/>
          <w:szCs w:val="20"/>
          <w:lang w:eastAsia="da-DK"/>
        </w:rPr>
        <w:t xml:space="preserve">Proposal 2: </w:t>
      </w:r>
      <w:r>
        <w:rPr>
          <w:b/>
          <w:lang w:val="en-GB" w:eastAsia="zh-CN"/>
        </w:rPr>
        <w:t>T</w:t>
      </w:r>
      <w:r w:rsidRPr="004E505B">
        <w:rPr>
          <w:b/>
          <w:lang w:val="en-GB" w:eastAsia="zh-CN"/>
        </w:rPr>
        <w:t xml:space="preserve">he tests are set with </w:t>
      </w:r>
      <w:r w:rsidRPr="004E505B">
        <w:rPr>
          <w:b/>
          <w:lang w:eastAsia="zh-CN"/>
        </w:rPr>
        <w:t>two BWPs configured in serving Cell</w:t>
      </w:r>
      <w:r>
        <w:rPr>
          <w:b/>
          <w:lang w:eastAsia="zh-CN"/>
        </w:rPr>
        <w:t>:</w:t>
      </w:r>
    </w:p>
    <w:p w14:paraId="3BDB2524" w14:textId="136A2432" w:rsidR="004E505B" w:rsidRPr="004E505B" w:rsidRDefault="004E505B" w:rsidP="004E505B">
      <w:pPr>
        <w:pStyle w:val="a5"/>
        <w:numPr>
          <w:ilvl w:val="0"/>
          <w:numId w:val="42"/>
        </w:numPr>
        <w:jc w:val="both"/>
        <w:rPr>
          <w:b/>
          <w:lang w:eastAsia="zh-CN"/>
        </w:rPr>
      </w:pPr>
      <w:r w:rsidRPr="004E505B">
        <w:rPr>
          <w:b/>
          <w:lang w:eastAsia="zh-CN"/>
        </w:rPr>
        <w:t xml:space="preserve">BWP1 contains CD-SSB which is defined in </w:t>
      </w:r>
      <w:proofErr w:type="spellStart"/>
      <w:r w:rsidRPr="004E505B">
        <w:rPr>
          <w:b/>
          <w:lang w:eastAsia="zh-CN"/>
        </w:rPr>
        <w:t>servingCellMO</w:t>
      </w:r>
      <w:proofErr w:type="spellEnd"/>
      <w:r w:rsidRPr="004E505B">
        <w:rPr>
          <w:b/>
          <w:lang w:eastAsia="zh-CN"/>
        </w:rPr>
        <w:t xml:space="preserve"> under </w:t>
      </w:r>
      <w:proofErr w:type="spellStart"/>
      <w:r w:rsidRPr="004E505B">
        <w:rPr>
          <w:b/>
          <w:lang w:eastAsia="zh-CN"/>
        </w:rPr>
        <w:t>ServingCellConfig</w:t>
      </w:r>
      <w:proofErr w:type="spellEnd"/>
      <w:r w:rsidRPr="004E505B">
        <w:rPr>
          <w:b/>
          <w:lang w:eastAsia="zh-CN"/>
        </w:rPr>
        <w:t xml:space="preserve"> and BWP2 contains NCD-SSB, while BWP-specific </w:t>
      </w:r>
      <w:proofErr w:type="spellStart"/>
      <w:r w:rsidRPr="004E505B">
        <w:rPr>
          <w:b/>
          <w:lang w:eastAsia="zh-CN"/>
        </w:rPr>
        <w:t>servingCellMO</w:t>
      </w:r>
      <w:proofErr w:type="spellEnd"/>
      <w:r w:rsidRPr="004E505B">
        <w:rPr>
          <w:b/>
          <w:lang w:eastAsia="zh-CN"/>
        </w:rPr>
        <w:t xml:space="preserve"> under BWP-</w:t>
      </w:r>
      <w:proofErr w:type="spellStart"/>
      <w:r w:rsidRPr="004E505B">
        <w:rPr>
          <w:b/>
          <w:lang w:eastAsia="zh-CN"/>
        </w:rPr>
        <w:t>DownlinkDedicated</w:t>
      </w:r>
      <w:proofErr w:type="spellEnd"/>
      <w:r w:rsidRPr="004E505B">
        <w:rPr>
          <w:b/>
          <w:lang w:eastAsia="zh-CN"/>
        </w:rPr>
        <w:t xml:space="preserve"> of BWP2 is absent.</w:t>
      </w:r>
      <w:r w:rsidR="004C257B" w:rsidRPr="004E505B">
        <w:rPr>
          <w:rFonts w:eastAsia="Times New Roman" w:cs="Times New Roman"/>
          <w:b/>
          <w:color w:val="000000"/>
          <w:szCs w:val="20"/>
          <w:lang w:eastAsia="da-DK"/>
        </w:rPr>
        <w:t> </w:t>
      </w:r>
      <w:r w:rsidRPr="004E505B">
        <w:rPr>
          <w:b/>
          <w:lang w:eastAsia="zh-CN"/>
        </w:rPr>
        <w:t xml:space="preserve">During the whole test, BWP2 is always scheduled as the active BWP for the UE. </w:t>
      </w:r>
    </w:p>
    <w:p w14:paraId="244C1811" w14:textId="6ACFF8F2" w:rsidR="004C257B" w:rsidRPr="004E505B" w:rsidRDefault="004C257B" w:rsidP="004E505B">
      <w:pPr>
        <w:spacing w:after="180" w:line="240" w:lineRule="auto"/>
        <w:rPr>
          <w:rFonts w:eastAsia="Times New Roman" w:cs="Times New Roman"/>
          <w:b/>
          <w:color w:val="000000"/>
          <w:szCs w:val="20"/>
          <w:lang w:eastAsia="da-DK"/>
        </w:rPr>
      </w:pPr>
    </w:p>
    <w:p w14:paraId="16CA844C" w14:textId="77777777" w:rsidR="00CD7492" w:rsidRPr="00EF698B" w:rsidRDefault="00CD7492" w:rsidP="00A37002">
      <w:pPr>
        <w:pStyle w:val="RAN4H1"/>
        <w:rPr>
          <w:lang w:val="en-US"/>
        </w:rPr>
      </w:pPr>
      <w:r w:rsidRPr="00EF698B">
        <w:rPr>
          <w:lang w:val="en-US"/>
        </w:rPr>
        <w:t>Conclusion</w:t>
      </w:r>
    </w:p>
    <w:p w14:paraId="1021DD38" w14:textId="560B5BFF" w:rsidR="005B4801" w:rsidRDefault="008B0961" w:rsidP="005C23A4">
      <w:r>
        <w:t>In the paper, t</w:t>
      </w:r>
      <w:r w:rsidR="005B4801">
        <w:t xml:space="preserve">he following </w:t>
      </w:r>
      <w:r w:rsidR="00F40B3F">
        <w:t>p</w:t>
      </w:r>
      <w:r w:rsidR="005B4801">
        <w:t>roposals were made:</w:t>
      </w:r>
    </w:p>
    <w:p w14:paraId="118D4126" w14:textId="77777777" w:rsidR="00254153" w:rsidRDefault="00254153" w:rsidP="00254153">
      <w:pPr>
        <w:pStyle w:val="RAN4proposal"/>
        <w:numPr>
          <w:ilvl w:val="0"/>
          <w:numId w:val="0"/>
        </w:numPr>
        <w:rPr>
          <w:lang w:eastAsia="zh-CN"/>
        </w:rPr>
      </w:pPr>
      <w:r>
        <w:rPr>
          <w:rFonts w:hint="eastAsia"/>
          <w:lang w:eastAsia="zh-CN"/>
        </w:rPr>
        <w:t>P</w:t>
      </w:r>
      <w:r>
        <w:rPr>
          <w:lang w:eastAsia="zh-CN"/>
        </w:rPr>
        <w:t xml:space="preserve">roposal 1: </w:t>
      </w:r>
      <w:r>
        <w:rPr>
          <w:lang w:val="en-GB" w:eastAsia="zh-CN"/>
        </w:rPr>
        <w:t>Propose two options for NCD-SSB tests of intra-frequency measurements with gap:</w:t>
      </w:r>
    </w:p>
    <w:p w14:paraId="73090E6B" w14:textId="77777777" w:rsidR="00254153" w:rsidRPr="00254153" w:rsidRDefault="00254153" w:rsidP="00254153">
      <w:pPr>
        <w:pStyle w:val="RAN4proposal"/>
        <w:numPr>
          <w:ilvl w:val="0"/>
          <w:numId w:val="38"/>
        </w:numPr>
        <w:rPr>
          <w:lang w:eastAsia="zh-CN"/>
        </w:rPr>
      </w:pPr>
      <w:r w:rsidRPr="00254153">
        <w:rPr>
          <w:rFonts w:hint="eastAsia"/>
          <w:lang w:eastAsia="zh-CN"/>
        </w:rPr>
        <w:t>O</w:t>
      </w:r>
      <w:r w:rsidRPr="00254153">
        <w:rPr>
          <w:lang w:eastAsia="zh-CN"/>
        </w:rPr>
        <w:t xml:space="preserve">ption 1: RAN4 </w:t>
      </w:r>
      <w:r w:rsidRPr="00254153">
        <w:rPr>
          <w:rFonts w:hint="eastAsia"/>
          <w:lang w:eastAsia="zh-CN"/>
        </w:rPr>
        <w:t>not</w:t>
      </w:r>
      <w:r w:rsidRPr="00254153">
        <w:rPr>
          <w:lang w:eastAsia="zh-CN"/>
        </w:rPr>
        <w:t xml:space="preserve"> to define the test cases</w:t>
      </w:r>
      <w:r>
        <w:rPr>
          <w:lang w:eastAsia="zh-CN"/>
        </w:rPr>
        <w:t xml:space="preserve"> </w:t>
      </w:r>
      <w:r w:rsidRPr="00254153">
        <w:rPr>
          <w:rFonts w:hint="eastAsia"/>
          <w:lang w:eastAsia="zh-CN"/>
        </w:rPr>
        <w:t>#2</w:t>
      </w:r>
      <w:r w:rsidRPr="00254153">
        <w:rPr>
          <w:lang w:eastAsia="zh-CN"/>
        </w:rPr>
        <w:t xml:space="preserve"> </w:t>
      </w:r>
      <w:r w:rsidRPr="00254153">
        <w:rPr>
          <w:rFonts w:hint="eastAsia"/>
          <w:lang w:eastAsia="zh-CN"/>
        </w:rPr>
        <w:t>and</w:t>
      </w:r>
      <w:r>
        <w:rPr>
          <w:lang w:eastAsia="zh-CN"/>
        </w:rPr>
        <w:t xml:space="preserve"> </w:t>
      </w:r>
      <w:r w:rsidRPr="00254153">
        <w:rPr>
          <w:rFonts w:hint="eastAsia"/>
          <w:lang w:eastAsia="zh-CN"/>
        </w:rPr>
        <w:t>#4</w:t>
      </w:r>
      <w:r w:rsidRPr="00254153">
        <w:rPr>
          <w:lang w:eastAsia="zh-CN"/>
        </w:rPr>
        <w:t xml:space="preserve"> for intra-frequency measurements </w:t>
      </w:r>
      <w:r w:rsidRPr="00254153">
        <w:rPr>
          <w:rFonts w:hint="eastAsia"/>
          <w:lang w:eastAsia="zh-CN"/>
        </w:rPr>
        <w:t>with</w:t>
      </w:r>
      <w:r w:rsidRPr="00254153">
        <w:rPr>
          <w:lang w:eastAsia="zh-CN"/>
        </w:rPr>
        <w:t xml:space="preserve"> </w:t>
      </w:r>
      <w:r w:rsidRPr="00254153">
        <w:rPr>
          <w:rFonts w:hint="eastAsia"/>
          <w:lang w:eastAsia="zh-CN"/>
        </w:rPr>
        <w:t>gap</w:t>
      </w:r>
      <w:r w:rsidRPr="00254153">
        <w:rPr>
          <w:lang w:eastAsia="zh-CN"/>
        </w:rPr>
        <w:t xml:space="preserve"> </w:t>
      </w:r>
      <w:r w:rsidRPr="00254153">
        <w:rPr>
          <w:rFonts w:hint="eastAsia"/>
          <w:lang w:eastAsia="zh-CN"/>
        </w:rPr>
        <w:t>for</w:t>
      </w:r>
      <w:r w:rsidRPr="00254153">
        <w:rPr>
          <w:lang w:eastAsia="zh-CN"/>
        </w:rPr>
        <w:t xml:space="preserve"> </w:t>
      </w:r>
      <w:r w:rsidRPr="00254153">
        <w:rPr>
          <w:rFonts w:hint="eastAsia"/>
          <w:lang w:eastAsia="zh-CN"/>
        </w:rPr>
        <w:t>NCD-SSB</w:t>
      </w:r>
    </w:p>
    <w:p w14:paraId="3D7B00E1" w14:textId="77777777" w:rsidR="00254153" w:rsidRPr="00254153" w:rsidRDefault="00254153" w:rsidP="00254153">
      <w:pPr>
        <w:pStyle w:val="RAN4proposal"/>
        <w:numPr>
          <w:ilvl w:val="0"/>
          <w:numId w:val="38"/>
        </w:numPr>
        <w:rPr>
          <w:lang w:eastAsia="zh-CN"/>
        </w:rPr>
      </w:pPr>
      <w:r w:rsidRPr="00254153">
        <w:rPr>
          <w:lang w:eastAsia="zh-CN"/>
        </w:rPr>
        <w:t>O</w:t>
      </w:r>
      <w:r w:rsidRPr="00254153">
        <w:rPr>
          <w:rFonts w:hint="eastAsia"/>
          <w:lang w:eastAsia="zh-CN"/>
        </w:rPr>
        <w:t>ption</w:t>
      </w:r>
      <w:r w:rsidRPr="00254153">
        <w:rPr>
          <w:lang w:eastAsia="zh-CN"/>
        </w:rPr>
        <w:t xml:space="preserve"> </w:t>
      </w:r>
      <w:r w:rsidRPr="00254153">
        <w:rPr>
          <w:rFonts w:hint="eastAsia"/>
          <w:lang w:eastAsia="zh-CN"/>
        </w:rPr>
        <w:t>2</w:t>
      </w:r>
      <w:r w:rsidRPr="00254153">
        <w:rPr>
          <w:rFonts w:hint="eastAsia"/>
          <w:lang w:eastAsia="zh-CN"/>
        </w:rPr>
        <w:t>：</w:t>
      </w:r>
      <w:r w:rsidRPr="00254153">
        <w:rPr>
          <w:lang w:eastAsia="zh-CN"/>
        </w:rPr>
        <w:t>RAN4 define</w:t>
      </w:r>
      <w:r>
        <w:rPr>
          <w:lang w:eastAsia="zh-CN"/>
        </w:rPr>
        <w:t>s</w:t>
      </w:r>
      <w:r w:rsidRPr="00254153">
        <w:rPr>
          <w:lang w:eastAsia="zh-CN"/>
        </w:rPr>
        <w:t xml:space="preserve"> the test cases</w:t>
      </w:r>
      <w:r>
        <w:rPr>
          <w:lang w:eastAsia="zh-CN"/>
        </w:rPr>
        <w:t xml:space="preserve"> </w:t>
      </w:r>
      <w:r w:rsidRPr="00254153">
        <w:rPr>
          <w:rFonts w:hint="eastAsia"/>
          <w:lang w:eastAsia="zh-CN"/>
        </w:rPr>
        <w:t>#2</w:t>
      </w:r>
      <w:r w:rsidRPr="00254153">
        <w:rPr>
          <w:lang w:eastAsia="zh-CN"/>
        </w:rPr>
        <w:t xml:space="preserve"> </w:t>
      </w:r>
      <w:r w:rsidRPr="00254153">
        <w:rPr>
          <w:rFonts w:hint="eastAsia"/>
          <w:lang w:eastAsia="zh-CN"/>
        </w:rPr>
        <w:t>and</w:t>
      </w:r>
      <w:r>
        <w:rPr>
          <w:lang w:eastAsia="zh-CN"/>
        </w:rPr>
        <w:t xml:space="preserve"> </w:t>
      </w:r>
      <w:r w:rsidRPr="00254153">
        <w:rPr>
          <w:rFonts w:hint="eastAsia"/>
          <w:lang w:eastAsia="zh-CN"/>
        </w:rPr>
        <w:t>#4</w:t>
      </w:r>
      <w:r w:rsidRPr="00254153">
        <w:rPr>
          <w:lang w:eastAsia="zh-CN"/>
        </w:rPr>
        <w:t xml:space="preserve"> for intra-frequency measurements </w:t>
      </w:r>
      <w:r w:rsidRPr="00254153">
        <w:rPr>
          <w:rFonts w:hint="eastAsia"/>
          <w:lang w:eastAsia="zh-CN"/>
        </w:rPr>
        <w:t>with</w:t>
      </w:r>
      <w:r w:rsidRPr="00254153">
        <w:rPr>
          <w:lang w:eastAsia="zh-CN"/>
        </w:rPr>
        <w:t xml:space="preserve"> </w:t>
      </w:r>
      <w:r w:rsidRPr="00254153">
        <w:rPr>
          <w:rFonts w:hint="eastAsia"/>
          <w:lang w:eastAsia="zh-CN"/>
        </w:rPr>
        <w:t>gap</w:t>
      </w:r>
      <w:r w:rsidRPr="00254153">
        <w:rPr>
          <w:lang w:eastAsia="zh-CN"/>
        </w:rPr>
        <w:t xml:space="preserve"> </w:t>
      </w:r>
      <w:r w:rsidRPr="00C32C1C">
        <w:rPr>
          <w:lang w:eastAsia="zh-CN"/>
        </w:rPr>
        <w:t>with both CD-SSB and NCD-SSB configuration</w:t>
      </w:r>
      <w:r w:rsidRPr="00254153">
        <w:rPr>
          <w:rFonts w:hint="eastAsia"/>
          <w:lang w:eastAsia="zh-CN"/>
        </w:rPr>
        <w:t>.</w:t>
      </w:r>
    </w:p>
    <w:p w14:paraId="479525AB" w14:textId="77777777" w:rsidR="0007349E" w:rsidRDefault="0007349E" w:rsidP="0007349E">
      <w:pPr>
        <w:jc w:val="both"/>
        <w:rPr>
          <w:b/>
          <w:lang w:eastAsia="zh-CN"/>
        </w:rPr>
      </w:pPr>
      <w:r w:rsidRPr="004E505B">
        <w:rPr>
          <w:rFonts w:eastAsia="Times New Roman" w:cs="Times New Roman"/>
          <w:b/>
          <w:color w:val="000000"/>
          <w:szCs w:val="20"/>
          <w:lang w:eastAsia="da-DK"/>
        </w:rPr>
        <w:t xml:space="preserve">Proposal 2: </w:t>
      </w:r>
      <w:r>
        <w:rPr>
          <w:b/>
          <w:lang w:val="en-GB" w:eastAsia="zh-CN"/>
        </w:rPr>
        <w:t>T</w:t>
      </w:r>
      <w:r w:rsidRPr="004E505B">
        <w:rPr>
          <w:b/>
          <w:lang w:val="en-GB" w:eastAsia="zh-CN"/>
        </w:rPr>
        <w:t xml:space="preserve">he tests are set with </w:t>
      </w:r>
      <w:r w:rsidRPr="004E505B">
        <w:rPr>
          <w:b/>
          <w:lang w:eastAsia="zh-CN"/>
        </w:rPr>
        <w:t>two BWPs configured in serving Cell</w:t>
      </w:r>
      <w:r>
        <w:rPr>
          <w:b/>
          <w:lang w:eastAsia="zh-CN"/>
        </w:rPr>
        <w:t>:</w:t>
      </w:r>
    </w:p>
    <w:p w14:paraId="3FD2F2FA" w14:textId="77777777" w:rsidR="0007349E" w:rsidRPr="004E505B" w:rsidRDefault="0007349E" w:rsidP="0007349E">
      <w:pPr>
        <w:pStyle w:val="a5"/>
        <w:numPr>
          <w:ilvl w:val="0"/>
          <w:numId w:val="42"/>
        </w:numPr>
        <w:jc w:val="both"/>
        <w:rPr>
          <w:b/>
          <w:lang w:eastAsia="zh-CN"/>
        </w:rPr>
      </w:pPr>
      <w:r w:rsidRPr="004E505B">
        <w:rPr>
          <w:b/>
          <w:lang w:eastAsia="zh-CN"/>
        </w:rPr>
        <w:lastRenderedPageBreak/>
        <w:t xml:space="preserve">BWP1 contains CD-SSB which is defined in </w:t>
      </w:r>
      <w:proofErr w:type="spellStart"/>
      <w:r w:rsidRPr="004E505B">
        <w:rPr>
          <w:b/>
          <w:lang w:eastAsia="zh-CN"/>
        </w:rPr>
        <w:t>servingCellMO</w:t>
      </w:r>
      <w:proofErr w:type="spellEnd"/>
      <w:r w:rsidRPr="004E505B">
        <w:rPr>
          <w:b/>
          <w:lang w:eastAsia="zh-CN"/>
        </w:rPr>
        <w:t xml:space="preserve"> under </w:t>
      </w:r>
      <w:proofErr w:type="spellStart"/>
      <w:r w:rsidRPr="004E505B">
        <w:rPr>
          <w:b/>
          <w:lang w:eastAsia="zh-CN"/>
        </w:rPr>
        <w:t>ServingCellConfig</w:t>
      </w:r>
      <w:proofErr w:type="spellEnd"/>
      <w:r w:rsidRPr="004E505B">
        <w:rPr>
          <w:b/>
          <w:lang w:eastAsia="zh-CN"/>
        </w:rPr>
        <w:t xml:space="preserve"> and BWP2 contains NCD-SSB, while BWP-specific </w:t>
      </w:r>
      <w:proofErr w:type="spellStart"/>
      <w:r w:rsidRPr="004E505B">
        <w:rPr>
          <w:b/>
          <w:lang w:eastAsia="zh-CN"/>
        </w:rPr>
        <w:t>servingCellMO</w:t>
      </w:r>
      <w:proofErr w:type="spellEnd"/>
      <w:r w:rsidRPr="004E505B">
        <w:rPr>
          <w:b/>
          <w:lang w:eastAsia="zh-CN"/>
        </w:rPr>
        <w:t xml:space="preserve"> under BWP-</w:t>
      </w:r>
      <w:proofErr w:type="spellStart"/>
      <w:r w:rsidRPr="004E505B">
        <w:rPr>
          <w:b/>
          <w:lang w:eastAsia="zh-CN"/>
        </w:rPr>
        <w:t>DownlinkDedicated</w:t>
      </w:r>
      <w:proofErr w:type="spellEnd"/>
      <w:r w:rsidRPr="004E505B">
        <w:rPr>
          <w:b/>
          <w:lang w:eastAsia="zh-CN"/>
        </w:rPr>
        <w:t xml:space="preserve"> of BWP2 is absent.</w:t>
      </w:r>
      <w:r w:rsidRPr="004E505B">
        <w:rPr>
          <w:rFonts w:eastAsia="Times New Roman" w:cs="Times New Roman"/>
          <w:b/>
          <w:color w:val="000000"/>
          <w:szCs w:val="20"/>
          <w:lang w:eastAsia="da-DK"/>
        </w:rPr>
        <w:t> </w:t>
      </w:r>
      <w:r w:rsidRPr="004E505B">
        <w:rPr>
          <w:b/>
          <w:lang w:eastAsia="zh-CN"/>
        </w:rPr>
        <w:t xml:space="preserve">During the whole test, BWP2 is always scheduled as the active BWP for the UE. </w:t>
      </w:r>
    </w:p>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69A9D4A4" w14:textId="3CF5100B" w:rsidR="008A1E51" w:rsidRPr="00254153" w:rsidRDefault="00254153" w:rsidP="00254153">
      <w:pPr>
        <w:pStyle w:val="a5"/>
        <w:numPr>
          <w:ilvl w:val="0"/>
          <w:numId w:val="33"/>
        </w:numPr>
        <w:ind w:right="-22"/>
      </w:pPr>
      <w:bookmarkStart w:id="5" w:name="_Ref114500673"/>
      <w:bookmarkStart w:id="6" w:name="_Ref115204225"/>
      <w:bookmarkEnd w:id="5"/>
      <w:r>
        <w:rPr>
          <w:szCs w:val="20"/>
        </w:rPr>
        <w:t>R4-</w:t>
      </w:r>
      <w:r w:rsidRPr="00254153">
        <w:rPr>
          <w:szCs w:val="20"/>
          <w:lang w:val="en-GB"/>
        </w:rPr>
        <w:t>2217214</w:t>
      </w:r>
      <w:r w:rsidR="00876540">
        <w:rPr>
          <w:szCs w:val="20"/>
          <w:lang w:val="en-GB"/>
        </w:rPr>
        <w:t xml:space="preserve">, “WF on </w:t>
      </w:r>
      <w:proofErr w:type="spellStart"/>
      <w:r w:rsidR="00876540">
        <w:rPr>
          <w:szCs w:val="20"/>
          <w:lang w:val="en-GB"/>
        </w:rPr>
        <w:t>RedCap</w:t>
      </w:r>
      <w:proofErr w:type="spellEnd"/>
      <w:r w:rsidR="00876540">
        <w:rPr>
          <w:szCs w:val="20"/>
          <w:lang w:val="en-GB"/>
        </w:rPr>
        <w:t xml:space="preserve"> RRM Requirements”, RAN4 #104</w:t>
      </w:r>
      <w:r>
        <w:rPr>
          <w:szCs w:val="20"/>
          <w:lang w:val="en-GB"/>
        </w:rPr>
        <w:t>-bis</w:t>
      </w:r>
      <w:r w:rsidR="00876540">
        <w:rPr>
          <w:szCs w:val="20"/>
          <w:lang w:val="en-GB"/>
        </w:rPr>
        <w:t>-e, Ericsson</w:t>
      </w:r>
      <w:bookmarkEnd w:id="6"/>
    </w:p>
    <w:p w14:paraId="5C348EA3" w14:textId="3A37E97B" w:rsidR="0021448A" w:rsidRDefault="0021448A" w:rsidP="008A1E51">
      <w:pPr>
        <w:pStyle w:val="a5"/>
        <w:numPr>
          <w:ilvl w:val="0"/>
          <w:numId w:val="33"/>
        </w:numPr>
        <w:ind w:right="-22"/>
        <w:rPr>
          <w:szCs w:val="20"/>
          <w:lang w:val="en-GB"/>
        </w:rPr>
      </w:pPr>
      <w:r w:rsidRPr="00C63BDC">
        <w:rPr>
          <w:szCs w:val="20"/>
          <w:lang w:val="en-GB"/>
        </w:rPr>
        <w:t>R4-2216600</w:t>
      </w:r>
      <w:r w:rsidRPr="00C63BDC">
        <w:rPr>
          <w:rFonts w:hint="eastAsia"/>
          <w:szCs w:val="20"/>
          <w:lang w:val="en-GB"/>
        </w:rPr>
        <w:t>，</w:t>
      </w:r>
      <w:r w:rsidRPr="00C63BDC">
        <w:rPr>
          <w:szCs w:val="20"/>
          <w:lang w:val="en-GB"/>
        </w:rPr>
        <w:t xml:space="preserve">Discussion on NCD-SSB test cases for </w:t>
      </w:r>
      <w:proofErr w:type="spellStart"/>
      <w:r w:rsidRPr="00C63BDC">
        <w:rPr>
          <w:szCs w:val="20"/>
          <w:lang w:val="en-GB"/>
        </w:rPr>
        <w:t>RedCap</w:t>
      </w:r>
      <w:proofErr w:type="spellEnd"/>
      <w:r w:rsidRPr="00C63BDC">
        <w:rPr>
          <w:szCs w:val="20"/>
          <w:lang w:val="en-GB"/>
        </w:rPr>
        <w:t xml:space="preserve"> UEs</w:t>
      </w:r>
      <w:r w:rsidRPr="00C63BDC">
        <w:rPr>
          <w:rFonts w:hint="eastAsia"/>
          <w:szCs w:val="20"/>
          <w:lang w:val="en-GB"/>
        </w:rPr>
        <w:t>，</w:t>
      </w:r>
      <w:r w:rsidRPr="00C63BDC">
        <w:rPr>
          <w:rFonts w:hint="eastAsia"/>
          <w:szCs w:val="20"/>
          <w:lang w:val="en-GB"/>
        </w:rPr>
        <w:t xml:space="preserve"> Nokia</w:t>
      </w:r>
    </w:p>
    <w:p w14:paraId="0E04F7B7" w14:textId="3C35085E" w:rsidR="00254153" w:rsidRPr="008A1E51" w:rsidRDefault="00254153" w:rsidP="008A1E51">
      <w:pPr>
        <w:pStyle w:val="a5"/>
        <w:numPr>
          <w:ilvl w:val="0"/>
          <w:numId w:val="33"/>
        </w:numPr>
        <w:ind w:right="-22"/>
        <w:rPr>
          <w:szCs w:val="20"/>
          <w:lang w:val="en-GB"/>
        </w:rPr>
      </w:pPr>
      <w:r>
        <w:rPr>
          <w:rFonts w:hint="eastAsia"/>
          <w:szCs w:val="20"/>
          <w:lang w:val="en-GB" w:eastAsia="zh-CN"/>
        </w:rPr>
        <w:t>R</w:t>
      </w:r>
      <w:r>
        <w:rPr>
          <w:szCs w:val="20"/>
          <w:lang w:val="en-GB" w:eastAsia="zh-CN"/>
        </w:rPr>
        <w:t xml:space="preserve">4-221xxxx, </w:t>
      </w:r>
      <w:r w:rsidRPr="00254153">
        <w:rPr>
          <w:szCs w:val="20"/>
          <w:lang w:val="en-GB" w:eastAsia="zh-CN"/>
        </w:rPr>
        <w:t>Draft CR on SA test for intra-frequency measurement with per-UE gaps under non-DRX with SSB index reading</w:t>
      </w:r>
      <w:r>
        <w:rPr>
          <w:szCs w:val="20"/>
          <w:lang w:val="en-GB" w:eastAsia="zh-CN"/>
        </w:rPr>
        <w:t>, OPPO</w:t>
      </w:r>
    </w:p>
    <w:p w14:paraId="6B992C79" w14:textId="77777777" w:rsidR="00876540" w:rsidRPr="00EF698B" w:rsidRDefault="00876540" w:rsidP="00876540">
      <w:pPr>
        <w:ind w:right="-22"/>
      </w:pPr>
    </w:p>
    <w:sectPr w:rsidR="0087654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2BF21" w14:textId="77777777" w:rsidR="00A95A1F" w:rsidRDefault="00A95A1F" w:rsidP="00001C9B">
      <w:pPr>
        <w:spacing w:after="0" w:line="240" w:lineRule="auto"/>
      </w:pPr>
      <w:r>
        <w:separator/>
      </w:r>
    </w:p>
  </w:endnote>
  <w:endnote w:type="continuationSeparator" w:id="0">
    <w:p w14:paraId="4E7A6796" w14:textId="77777777" w:rsidR="00A95A1F" w:rsidRDefault="00A95A1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3A997" w14:textId="77777777" w:rsidR="00A95A1F" w:rsidRDefault="00A95A1F" w:rsidP="00001C9B">
      <w:pPr>
        <w:spacing w:after="0" w:line="240" w:lineRule="auto"/>
      </w:pPr>
      <w:r>
        <w:separator/>
      </w:r>
    </w:p>
  </w:footnote>
  <w:footnote w:type="continuationSeparator" w:id="0">
    <w:p w14:paraId="56404852" w14:textId="77777777" w:rsidR="00A95A1F" w:rsidRDefault="00A95A1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6016"/>
    <w:multiLevelType w:val="multilevel"/>
    <w:tmpl w:val="0F06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3571DF"/>
    <w:multiLevelType w:val="hybridMultilevel"/>
    <w:tmpl w:val="AA32EAC8"/>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076894"/>
    <w:multiLevelType w:val="hybridMultilevel"/>
    <w:tmpl w:val="611C0E96"/>
    <w:lvl w:ilvl="0" w:tplc="190C505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E5659"/>
    <w:multiLevelType w:val="multilevel"/>
    <w:tmpl w:val="C612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5A3DE7"/>
    <w:multiLevelType w:val="multilevel"/>
    <w:tmpl w:val="01B4B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D84CAE"/>
    <w:multiLevelType w:val="hybridMultilevel"/>
    <w:tmpl w:val="ED989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81174"/>
    <w:multiLevelType w:val="multilevel"/>
    <w:tmpl w:val="641CE4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CF504F"/>
    <w:multiLevelType w:val="multilevel"/>
    <w:tmpl w:val="5BA64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E220F4"/>
    <w:multiLevelType w:val="hybridMultilevel"/>
    <w:tmpl w:val="C178A85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tentative="1">
      <w:start w:val="1"/>
      <w:numFmt w:val="bullet"/>
      <w:lvlText w:val=""/>
      <w:lvlJc w:val="left"/>
      <w:pPr>
        <w:ind w:left="4141" w:hanging="360"/>
      </w:pPr>
      <w:rPr>
        <w:rFonts w:ascii="Wingdings" w:hAnsi="Wingdings" w:hint="default"/>
      </w:rPr>
    </w:lvl>
    <w:lvl w:ilvl="6" w:tplc="04190001" w:tentative="1">
      <w:start w:val="1"/>
      <w:numFmt w:val="bullet"/>
      <w:lvlText w:val=""/>
      <w:lvlJc w:val="left"/>
      <w:pPr>
        <w:ind w:left="4861" w:hanging="360"/>
      </w:pPr>
      <w:rPr>
        <w:rFonts w:ascii="Symbol" w:hAnsi="Symbol" w:hint="default"/>
      </w:rPr>
    </w:lvl>
    <w:lvl w:ilvl="7" w:tplc="04190003" w:tentative="1">
      <w:start w:val="1"/>
      <w:numFmt w:val="bullet"/>
      <w:lvlText w:val="o"/>
      <w:lvlJc w:val="left"/>
      <w:pPr>
        <w:ind w:left="5581" w:hanging="360"/>
      </w:pPr>
      <w:rPr>
        <w:rFonts w:ascii="Courier New" w:hAnsi="Courier New" w:cs="Courier New" w:hint="default"/>
      </w:rPr>
    </w:lvl>
    <w:lvl w:ilvl="8" w:tplc="04190005" w:tentative="1">
      <w:start w:val="1"/>
      <w:numFmt w:val="bullet"/>
      <w:lvlText w:val=""/>
      <w:lvlJc w:val="left"/>
      <w:pPr>
        <w:ind w:left="6301" w:hanging="360"/>
      </w:pPr>
      <w:rPr>
        <w:rFonts w:ascii="Wingdings" w:hAnsi="Wingdings" w:hint="default"/>
      </w:rPr>
    </w:lvl>
  </w:abstractNum>
  <w:abstractNum w:abstractNumId="18" w15:restartNumberingAfterBreak="0">
    <w:nsid w:val="5A1E0840"/>
    <w:multiLevelType w:val="multilevel"/>
    <w:tmpl w:val="5A1A0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97516A"/>
    <w:multiLevelType w:val="multilevel"/>
    <w:tmpl w:val="138C3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0F41ED"/>
    <w:multiLevelType w:val="hybridMultilevel"/>
    <w:tmpl w:val="D71012A8"/>
    <w:lvl w:ilvl="0" w:tplc="62C6BC24">
      <w:start w:val="202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3657B1"/>
    <w:multiLevelType w:val="multilevel"/>
    <w:tmpl w:val="C47E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F93BC7"/>
    <w:multiLevelType w:val="multilevel"/>
    <w:tmpl w:val="18EED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37083F"/>
    <w:multiLevelType w:val="hybridMultilevel"/>
    <w:tmpl w:val="917E3C9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5"/>
  </w:num>
  <w:num w:numId="5">
    <w:abstractNumId w:val="26"/>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7"/>
  </w:num>
  <w:num w:numId="16">
    <w:abstractNumId w:val="3"/>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9"/>
  </w:num>
  <w:num w:numId="22">
    <w:abstractNumId w:val="11"/>
    <w:lvlOverride w:ilvl="0">
      <w:startOverride w:val="1"/>
    </w:lvlOverride>
  </w:num>
  <w:num w:numId="23">
    <w:abstractNumId w:val="12"/>
    <w:lvlOverride w:ilvl="0">
      <w:startOverride w:val="1"/>
    </w:lvlOverride>
  </w:num>
  <w:num w:numId="24">
    <w:abstractNumId w:val="20"/>
    <w:lvlOverride w:ilvl="0">
      <w:startOverride w:val="1"/>
    </w:lvlOverride>
  </w:num>
  <w:num w:numId="25">
    <w:abstractNumId w:val="14"/>
  </w:num>
  <w:num w:numId="26">
    <w:abstractNumId w:val="7"/>
  </w:num>
  <w:num w:numId="27">
    <w:abstractNumId w:val="18"/>
  </w:num>
  <w:num w:numId="28">
    <w:abstractNumId w:val="23"/>
  </w:num>
  <w:num w:numId="29">
    <w:abstractNumId w:val="0"/>
  </w:num>
  <w:num w:numId="30">
    <w:abstractNumId w:val="8"/>
  </w:num>
  <w:num w:numId="31">
    <w:abstractNumId w:val="15"/>
  </w:num>
  <w:num w:numId="32">
    <w:abstractNumId w:val="22"/>
  </w:num>
  <w:num w:numId="33">
    <w:abstractNumId w:val="4"/>
  </w:num>
  <w:num w:numId="34">
    <w:abstractNumId w:val="11"/>
    <w:lvlOverride w:ilvl="0">
      <w:startOverride w:val="1"/>
    </w:lvlOverride>
  </w:num>
  <w:num w:numId="35">
    <w:abstractNumId w:val="12"/>
    <w:lvlOverride w:ilvl="0">
      <w:startOverride w:val="1"/>
    </w:lvlOverride>
  </w:num>
  <w:num w:numId="36">
    <w:abstractNumId w:val="17"/>
  </w:num>
  <w:num w:numId="37">
    <w:abstractNumId w:val="12"/>
  </w:num>
  <w:num w:numId="38">
    <w:abstractNumId w:val="9"/>
  </w:num>
  <w:num w:numId="39">
    <w:abstractNumId w:val="25"/>
  </w:num>
  <w:num w:numId="40">
    <w:abstractNumId w:val="2"/>
  </w:num>
  <w:num w:numId="41">
    <w:abstractNumId w:val="16"/>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02BC"/>
    <w:rsid w:val="000019A3"/>
    <w:rsid w:val="00001C9B"/>
    <w:rsid w:val="0007349E"/>
    <w:rsid w:val="0008612A"/>
    <w:rsid w:val="0008712D"/>
    <w:rsid w:val="000908DA"/>
    <w:rsid w:val="00090E18"/>
    <w:rsid w:val="000B0056"/>
    <w:rsid w:val="00140221"/>
    <w:rsid w:val="001614E2"/>
    <w:rsid w:val="001745F8"/>
    <w:rsid w:val="0018282A"/>
    <w:rsid w:val="001838CF"/>
    <w:rsid w:val="001868EE"/>
    <w:rsid w:val="001A3BA4"/>
    <w:rsid w:val="001D51D3"/>
    <w:rsid w:val="001E30F6"/>
    <w:rsid w:val="0021448A"/>
    <w:rsid w:val="00235F5C"/>
    <w:rsid w:val="00254153"/>
    <w:rsid w:val="0029511A"/>
    <w:rsid w:val="00295983"/>
    <w:rsid w:val="002B4922"/>
    <w:rsid w:val="002C2D19"/>
    <w:rsid w:val="002D10FA"/>
    <w:rsid w:val="002D4C55"/>
    <w:rsid w:val="0032499A"/>
    <w:rsid w:val="00377894"/>
    <w:rsid w:val="003A710A"/>
    <w:rsid w:val="003B659E"/>
    <w:rsid w:val="003D6E53"/>
    <w:rsid w:val="00431F57"/>
    <w:rsid w:val="0043750A"/>
    <w:rsid w:val="004854BB"/>
    <w:rsid w:val="004C257B"/>
    <w:rsid w:val="004E505B"/>
    <w:rsid w:val="004E5E66"/>
    <w:rsid w:val="004F2355"/>
    <w:rsid w:val="004F2A1A"/>
    <w:rsid w:val="00503B4D"/>
    <w:rsid w:val="00504EE9"/>
    <w:rsid w:val="0054442C"/>
    <w:rsid w:val="00546E16"/>
    <w:rsid w:val="00550285"/>
    <w:rsid w:val="005702A3"/>
    <w:rsid w:val="00572A20"/>
    <w:rsid w:val="005836F8"/>
    <w:rsid w:val="00590E71"/>
    <w:rsid w:val="005918FA"/>
    <w:rsid w:val="00592609"/>
    <w:rsid w:val="005B4801"/>
    <w:rsid w:val="005C23A4"/>
    <w:rsid w:val="005D1CDF"/>
    <w:rsid w:val="005E127D"/>
    <w:rsid w:val="005E61A8"/>
    <w:rsid w:val="005F6419"/>
    <w:rsid w:val="00617400"/>
    <w:rsid w:val="00664950"/>
    <w:rsid w:val="00683220"/>
    <w:rsid w:val="00687FA0"/>
    <w:rsid w:val="006B7010"/>
    <w:rsid w:val="006E6311"/>
    <w:rsid w:val="007145FF"/>
    <w:rsid w:val="00715B2A"/>
    <w:rsid w:val="00751515"/>
    <w:rsid w:val="0075363D"/>
    <w:rsid w:val="00784DF6"/>
    <w:rsid w:val="00785232"/>
    <w:rsid w:val="007C3ED0"/>
    <w:rsid w:val="00804E64"/>
    <w:rsid w:val="00806A76"/>
    <w:rsid w:val="00811C9D"/>
    <w:rsid w:val="00816C80"/>
    <w:rsid w:val="00841BCD"/>
    <w:rsid w:val="00851A8E"/>
    <w:rsid w:val="00876540"/>
    <w:rsid w:val="008826C1"/>
    <w:rsid w:val="008A1E51"/>
    <w:rsid w:val="008B0961"/>
    <w:rsid w:val="008D5E16"/>
    <w:rsid w:val="0090091A"/>
    <w:rsid w:val="009042BD"/>
    <w:rsid w:val="00977E1D"/>
    <w:rsid w:val="00A04992"/>
    <w:rsid w:val="00A06037"/>
    <w:rsid w:val="00A147AA"/>
    <w:rsid w:val="00A21D71"/>
    <w:rsid w:val="00A22B78"/>
    <w:rsid w:val="00A25AE5"/>
    <w:rsid w:val="00A37002"/>
    <w:rsid w:val="00A95A1F"/>
    <w:rsid w:val="00A97983"/>
    <w:rsid w:val="00AA1B0E"/>
    <w:rsid w:val="00AC5CA7"/>
    <w:rsid w:val="00AE2BA5"/>
    <w:rsid w:val="00AE56B1"/>
    <w:rsid w:val="00AE6D09"/>
    <w:rsid w:val="00B73862"/>
    <w:rsid w:val="00BA6E48"/>
    <w:rsid w:val="00BC24CE"/>
    <w:rsid w:val="00BF2218"/>
    <w:rsid w:val="00C32C1C"/>
    <w:rsid w:val="00C63BDC"/>
    <w:rsid w:val="00CD7492"/>
    <w:rsid w:val="00CE3A6B"/>
    <w:rsid w:val="00CE4FEA"/>
    <w:rsid w:val="00D00211"/>
    <w:rsid w:val="00D06309"/>
    <w:rsid w:val="00D351EA"/>
    <w:rsid w:val="00D43403"/>
    <w:rsid w:val="00D54367"/>
    <w:rsid w:val="00D62E71"/>
    <w:rsid w:val="00D66188"/>
    <w:rsid w:val="00D740CA"/>
    <w:rsid w:val="00D85728"/>
    <w:rsid w:val="00DB4747"/>
    <w:rsid w:val="00DF2997"/>
    <w:rsid w:val="00E401D4"/>
    <w:rsid w:val="00EC7BC3"/>
    <w:rsid w:val="00ED7600"/>
    <w:rsid w:val="00EF698B"/>
    <w:rsid w:val="00F1362C"/>
    <w:rsid w:val="00F40B3F"/>
    <w:rsid w:val="00F50352"/>
    <w:rsid w:val="00F508B8"/>
    <w:rsid w:val="00F824F5"/>
    <w:rsid w:val="00FA6962"/>
    <w:rsid w:val="00FC29B9"/>
    <w:rsid w:val="00FC6FD3"/>
    <w:rsid w:val="00FD37EF"/>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rPr>
      <w:lang w:val="en-US"/>
    </w:r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lang w:val="en-GB"/>
    </w:rPr>
  </w:style>
  <w:style w:type="character" w:customStyle="1" w:styleId="a6">
    <w:name w:val="列表段落 字符"/>
    <w:basedOn w:val="a0"/>
    <w:link w:val="a5"/>
    <w:uiPriority w:val="34"/>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a">
    <w:name w:val="Balloon Text"/>
    <w:basedOn w:val="a"/>
    <w:link w:val="ab"/>
    <w:uiPriority w:val="99"/>
    <w:semiHidden/>
    <w:unhideWhenUsed/>
    <w:rsid w:val="00140221"/>
    <w:pPr>
      <w:spacing w:after="0" w:line="240" w:lineRule="auto"/>
    </w:pPr>
    <w:rPr>
      <w:rFonts w:ascii="Segoe UI" w:hAnsi="Segoe UI" w:cs="Segoe UI"/>
      <w:sz w:val="18"/>
      <w:szCs w:val="18"/>
    </w:rPr>
  </w:style>
  <w:style w:type="character" w:customStyle="1" w:styleId="ab">
    <w:name w:val="批注框文本 字符"/>
    <w:basedOn w:val="a0"/>
    <w:link w:val="aa"/>
    <w:uiPriority w:val="99"/>
    <w:semiHidden/>
    <w:rsid w:val="00140221"/>
    <w:rPr>
      <w:rFonts w:ascii="Segoe UI" w:hAnsi="Segoe UI" w:cs="Segoe UI"/>
      <w:sz w:val="18"/>
      <w:szCs w:val="18"/>
    </w:rPr>
  </w:style>
  <w:style w:type="paragraph" w:styleId="ac">
    <w:name w:val="Normal (Web)"/>
    <w:basedOn w:val="a"/>
    <w:uiPriority w:val="99"/>
    <w:unhideWhenUsed/>
    <w:rsid w:val="00F50352"/>
    <w:pPr>
      <w:spacing w:before="100" w:beforeAutospacing="1" w:after="100" w:afterAutospacing="1" w:line="240" w:lineRule="auto"/>
    </w:pPr>
    <w:rPr>
      <w:rFonts w:eastAsia="Times New Roman" w:cs="Times New Roman"/>
      <w:sz w:val="24"/>
      <w:szCs w:val="24"/>
      <w:lang w:val="da-DK" w:eastAsia="da-DK"/>
    </w:rPr>
  </w:style>
  <w:style w:type="paragraph" w:styleId="ad">
    <w:name w:val="header"/>
    <w:basedOn w:val="a"/>
    <w:link w:val="ae"/>
    <w:uiPriority w:val="99"/>
    <w:unhideWhenUsed/>
    <w:rsid w:val="00295983"/>
    <w:pPr>
      <w:pBdr>
        <w:bottom w:val="single" w:sz="6" w:space="1" w:color="auto"/>
      </w:pBdr>
      <w:tabs>
        <w:tab w:val="center" w:pos="4153"/>
        <w:tab w:val="right" w:pos="8306"/>
      </w:tabs>
      <w:snapToGrid w:val="0"/>
      <w:spacing w:line="240" w:lineRule="auto"/>
      <w:jc w:val="center"/>
    </w:pPr>
    <w:rPr>
      <w:sz w:val="18"/>
      <w:szCs w:val="18"/>
    </w:rPr>
  </w:style>
  <w:style w:type="character" w:customStyle="1" w:styleId="ae">
    <w:name w:val="页眉 字符"/>
    <w:basedOn w:val="a0"/>
    <w:link w:val="ad"/>
    <w:uiPriority w:val="99"/>
    <w:rsid w:val="00295983"/>
    <w:rPr>
      <w:rFonts w:ascii="Times New Roman" w:hAnsi="Times New Roman"/>
      <w:sz w:val="18"/>
      <w:szCs w:val="18"/>
    </w:rPr>
  </w:style>
  <w:style w:type="paragraph" w:styleId="af">
    <w:name w:val="footer"/>
    <w:basedOn w:val="a"/>
    <w:link w:val="af0"/>
    <w:uiPriority w:val="99"/>
    <w:unhideWhenUsed/>
    <w:rsid w:val="00295983"/>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295983"/>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35610">
      <w:bodyDiv w:val="1"/>
      <w:marLeft w:val="0"/>
      <w:marRight w:val="0"/>
      <w:marTop w:val="0"/>
      <w:marBottom w:val="0"/>
      <w:divBdr>
        <w:top w:val="none" w:sz="0" w:space="0" w:color="auto"/>
        <w:left w:val="none" w:sz="0" w:space="0" w:color="auto"/>
        <w:bottom w:val="none" w:sz="0" w:space="0" w:color="auto"/>
        <w:right w:val="none" w:sz="0" w:space="0" w:color="auto"/>
      </w:divBdr>
    </w:div>
    <w:div w:id="147094305">
      <w:bodyDiv w:val="1"/>
      <w:marLeft w:val="0"/>
      <w:marRight w:val="0"/>
      <w:marTop w:val="0"/>
      <w:marBottom w:val="0"/>
      <w:divBdr>
        <w:top w:val="none" w:sz="0" w:space="0" w:color="auto"/>
        <w:left w:val="none" w:sz="0" w:space="0" w:color="auto"/>
        <w:bottom w:val="none" w:sz="0" w:space="0" w:color="auto"/>
        <w:right w:val="none" w:sz="0" w:space="0" w:color="auto"/>
      </w:divBdr>
      <w:divsChild>
        <w:div w:id="1902062813">
          <w:marLeft w:val="0"/>
          <w:marRight w:val="0"/>
          <w:marTop w:val="0"/>
          <w:marBottom w:val="0"/>
          <w:divBdr>
            <w:top w:val="none" w:sz="0" w:space="0" w:color="auto"/>
            <w:left w:val="none" w:sz="0" w:space="0" w:color="auto"/>
            <w:bottom w:val="none" w:sz="0" w:space="0" w:color="auto"/>
            <w:right w:val="none" w:sz="0" w:space="0" w:color="auto"/>
          </w:divBdr>
        </w:div>
        <w:div w:id="897932904">
          <w:marLeft w:val="0"/>
          <w:marRight w:val="0"/>
          <w:marTop w:val="0"/>
          <w:marBottom w:val="0"/>
          <w:divBdr>
            <w:top w:val="none" w:sz="0" w:space="0" w:color="auto"/>
            <w:left w:val="none" w:sz="0" w:space="0" w:color="auto"/>
            <w:bottom w:val="none" w:sz="0" w:space="0" w:color="auto"/>
            <w:right w:val="none" w:sz="0" w:space="0" w:color="auto"/>
          </w:divBdr>
        </w:div>
      </w:divsChild>
    </w:div>
    <w:div w:id="280691670">
      <w:bodyDiv w:val="1"/>
      <w:marLeft w:val="0"/>
      <w:marRight w:val="0"/>
      <w:marTop w:val="0"/>
      <w:marBottom w:val="0"/>
      <w:divBdr>
        <w:top w:val="none" w:sz="0" w:space="0" w:color="auto"/>
        <w:left w:val="none" w:sz="0" w:space="0" w:color="auto"/>
        <w:bottom w:val="none" w:sz="0" w:space="0" w:color="auto"/>
        <w:right w:val="none" w:sz="0" w:space="0" w:color="auto"/>
      </w:divBdr>
    </w:div>
    <w:div w:id="825904100">
      <w:bodyDiv w:val="1"/>
      <w:marLeft w:val="0"/>
      <w:marRight w:val="0"/>
      <w:marTop w:val="0"/>
      <w:marBottom w:val="0"/>
      <w:divBdr>
        <w:top w:val="none" w:sz="0" w:space="0" w:color="auto"/>
        <w:left w:val="none" w:sz="0" w:space="0" w:color="auto"/>
        <w:bottom w:val="none" w:sz="0" w:space="0" w:color="auto"/>
        <w:right w:val="none" w:sz="0" w:space="0" w:color="auto"/>
      </w:divBdr>
    </w:div>
    <w:div w:id="894464222">
      <w:bodyDiv w:val="1"/>
      <w:marLeft w:val="0"/>
      <w:marRight w:val="0"/>
      <w:marTop w:val="0"/>
      <w:marBottom w:val="0"/>
      <w:divBdr>
        <w:top w:val="none" w:sz="0" w:space="0" w:color="auto"/>
        <w:left w:val="none" w:sz="0" w:space="0" w:color="auto"/>
        <w:bottom w:val="none" w:sz="0" w:space="0" w:color="auto"/>
        <w:right w:val="none" w:sz="0" w:space="0" w:color="auto"/>
      </w:divBdr>
    </w:div>
    <w:div w:id="1055347538">
      <w:bodyDiv w:val="1"/>
      <w:marLeft w:val="0"/>
      <w:marRight w:val="0"/>
      <w:marTop w:val="0"/>
      <w:marBottom w:val="0"/>
      <w:divBdr>
        <w:top w:val="none" w:sz="0" w:space="0" w:color="auto"/>
        <w:left w:val="none" w:sz="0" w:space="0" w:color="auto"/>
        <w:bottom w:val="none" w:sz="0" w:space="0" w:color="auto"/>
        <w:right w:val="none" w:sz="0" w:space="0" w:color="auto"/>
      </w:divBdr>
      <w:divsChild>
        <w:div w:id="798760457">
          <w:marLeft w:val="0"/>
          <w:marRight w:val="0"/>
          <w:marTop w:val="0"/>
          <w:marBottom w:val="0"/>
          <w:divBdr>
            <w:top w:val="none" w:sz="0" w:space="0" w:color="auto"/>
            <w:left w:val="none" w:sz="0" w:space="0" w:color="auto"/>
            <w:bottom w:val="none" w:sz="0" w:space="0" w:color="auto"/>
            <w:right w:val="none" w:sz="0" w:space="0" w:color="auto"/>
          </w:divBdr>
        </w:div>
        <w:div w:id="1329018923">
          <w:marLeft w:val="0"/>
          <w:marRight w:val="0"/>
          <w:marTop w:val="0"/>
          <w:marBottom w:val="0"/>
          <w:divBdr>
            <w:top w:val="none" w:sz="0" w:space="0" w:color="auto"/>
            <w:left w:val="none" w:sz="0" w:space="0" w:color="auto"/>
            <w:bottom w:val="none" w:sz="0" w:space="0" w:color="auto"/>
            <w:right w:val="none" w:sz="0" w:space="0" w:color="auto"/>
          </w:divBdr>
        </w:div>
      </w:divsChild>
    </w:div>
    <w:div w:id="1067144155">
      <w:bodyDiv w:val="1"/>
      <w:marLeft w:val="0"/>
      <w:marRight w:val="0"/>
      <w:marTop w:val="0"/>
      <w:marBottom w:val="0"/>
      <w:divBdr>
        <w:top w:val="none" w:sz="0" w:space="0" w:color="auto"/>
        <w:left w:val="none" w:sz="0" w:space="0" w:color="auto"/>
        <w:bottom w:val="none" w:sz="0" w:space="0" w:color="auto"/>
        <w:right w:val="none" w:sz="0" w:space="0" w:color="auto"/>
      </w:divBdr>
      <w:divsChild>
        <w:div w:id="965966862">
          <w:marLeft w:val="0"/>
          <w:marRight w:val="0"/>
          <w:marTop w:val="0"/>
          <w:marBottom w:val="0"/>
          <w:divBdr>
            <w:top w:val="none" w:sz="0" w:space="0" w:color="auto"/>
            <w:left w:val="none" w:sz="0" w:space="0" w:color="auto"/>
            <w:bottom w:val="none" w:sz="0" w:space="0" w:color="auto"/>
            <w:right w:val="none" w:sz="0" w:space="0" w:color="auto"/>
          </w:divBdr>
        </w:div>
        <w:div w:id="386031218">
          <w:marLeft w:val="0"/>
          <w:marRight w:val="0"/>
          <w:marTop w:val="0"/>
          <w:marBottom w:val="0"/>
          <w:divBdr>
            <w:top w:val="none" w:sz="0" w:space="0" w:color="auto"/>
            <w:left w:val="none" w:sz="0" w:space="0" w:color="auto"/>
            <w:bottom w:val="none" w:sz="0" w:space="0" w:color="auto"/>
            <w:right w:val="none" w:sz="0" w:space="0" w:color="auto"/>
          </w:divBdr>
        </w:div>
      </w:divsChild>
    </w:div>
    <w:div w:id="1484352592">
      <w:bodyDiv w:val="1"/>
      <w:marLeft w:val="0"/>
      <w:marRight w:val="0"/>
      <w:marTop w:val="0"/>
      <w:marBottom w:val="0"/>
      <w:divBdr>
        <w:top w:val="none" w:sz="0" w:space="0" w:color="auto"/>
        <w:left w:val="none" w:sz="0" w:space="0" w:color="auto"/>
        <w:bottom w:val="none" w:sz="0" w:space="0" w:color="auto"/>
        <w:right w:val="none" w:sz="0" w:space="0" w:color="auto"/>
      </w:divBdr>
    </w:div>
    <w:div w:id="1931112950">
      <w:bodyDiv w:val="1"/>
      <w:marLeft w:val="0"/>
      <w:marRight w:val="0"/>
      <w:marTop w:val="0"/>
      <w:marBottom w:val="0"/>
      <w:divBdr>
        <w:top w:val="none" w:sz="0" w:space="0" w:color="auto"/>
        <w:left w:val="none" w:sz="0" w:space="0" w:color="auto"/>
        <w:bottom w:val="none" w:sz="0" w:space="0" w:color="auto"/>
        <w:right w:val="none" w:sz="0" w:space="0" w:color="auto"/>
      </w:divBdr>
      <w:divsChild>
        <w:div w:id="102044619">
          <w:marLeft w:val="0"/>
          <w:marRight w:val="0"/>
          <w:marTop w:val="0"/>
          <w:marBottom w:val="0"/>
          <w:divBdr>
            <w:top w:val="none" w:sz="0" w:space="0" w:color="auto"/>
            <w:left w:val="none" w:sz="0" w:space="0" w:color="auto"/>
            <w:bottom w:val="none" w:sz="0" w:space="0" w:color="auto"/>
            <w:right w:val="none" w:sz="0" w:space="0" w:color="auto"/>
          </w:divBdr>
        </w:div>
        <w:div w:id="750083871">
          <w:marLeft w:val="0"/>
          <w:marRight w:val="0"/>
          <w:marTop w:val="0"/>
          <w:marBottom w:val="0"/>
          <w:divBdr>
            <w:top w:val="none" w:sz="0" w:space="0" w:color="auto"/>
            <w:left w:val="none" w:sz="0" w:space="0" w:color="auto"/>
            <w:bottom w:val="none" w:sz="0" w:space="0" w:color="auto"/>
            <w:right w:val="none" w:sz="0" w:space="0" w:color="auto"/>
          </w:divBdr>
        </w:div>
      </w:divsChild>
    </w:div>
    <w:div w:id="200134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cid:image003.png@01D8E23D.B06C9C6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cid:image002.png@01D8E23D.B06C9C60" TargetMode="External"/><Relationship Id="rId20" Type="http://schemas.openxmlformats.org/officeDocument/2006/relationships/image" Target="cid:image004.png@01D8E23D.B06C9C6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8E23D.B06C9C6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5AIRPNAIUNRU-1328258698-16501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https://nokia.sharepoint.com/sites/c5g/5gradio/_layouts/15/DocIdRedir.aspx?ID=5AIRPNAIUNRU-1328258698-16501</Url>
      <Description>5AIRPNAIUNRU-1328258698-16501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936926FE-98ED-48E0-AC9E-90D3B816D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6A2BD1-FEBC-4A7A-9DAF-58F390CA6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4</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OPPO-Roy</cp:lastModifiedBy>
  <cp:revision>9</cp:revision>
  <dcterms:created xsi:type="dcterms:W3CDTF">2022-10-31T03:32:00Z</dcterms:created>
  <dcterms:modified xsi:type="dcterms:W3CDTF">2022-11-07T10:38:00Z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c2c65a34-a2e4-4a66-85f0-be746294852e</vt:lpwstr>
  </property>
  <property fmtid="{D5CDD505-2E9C-101B-9397-08002B2CF9AE}" pid="11" name="MediaServiceImageTags">
    <vt:lpwstr/>
  </property>
</Properties>
</file>